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5C8A8" w14:textId="05D1A0F2" w:rsidR="0039029A" w:rsidRDefault="0039029A" w:rsidP="00C5205F">
      <w:pPr>
        <w:rPr>
          <w:rFonts w:cs="Arial"/>
          <w:b/>
          <w:sz w:val="28"/>
          <w:szCs w:val="28"/>
        </w:rPr>
      </w:pPr>
    </w:p>
    <w:p w14:paraId="28336B7C" w14:textId="7E385F82" w:rsidR="0039029A" w:rsidRDefault="00B8497C" w:rsidP="0039029A">
      <w:pPr>
        <w:jc w:val="center"/>
        <w:rPr>
          <w:rFonts w:cs="Arial"/>
          <w:b/>
          <w:sz w:val="28"/>
          <w:szCs w:val="28"/>
        </w:rPr>
      </w:pPr>
      <w:r w:rsidRPr="00B8497C">
        <w:rPr>
          <w:rFonts w:cs="Arial"/>
          <w:b/>
          <w:sz w:val="28"/>
          <w:szCs w:val="28"/>
        </w:rPr>
        <w:t>ACONDICIONAMIENTO DE SEÑAL PARA BIOPOTENCIALES SUPERFICIALES MIOGRÁFICOS LARGOS CON ELECTRODOS SUPERFICIALES SECOS</w:t>
      </w:r>
    </w:p>
    <w:p w14:paraId="5E9AB5D9" w14:textId="77777777" w:rsidR="00B8497C" w:rsidRPr="00B8497C" w:rsidRDefault="00B8497C" w:rsidP="0039029A">
      <w:pPr>
        <w:jc w:val="center"/>
        <w:rPr>
          <w:rFonts w:cs="Arial"/>
          <w:b/>
          <w:sz w:val="12"/>
          <w:szCs w:val="12"/>
        </w:rPr>
      </w:pPr>
    </w:p>
    <w:p w14:paraId="046AC7E6" w14:textId="105F5D6F" w:rsidR="00F169AC" w:rsidRPr="00C5205F" w:rsidRDefault="00C5205F" w:rsidP="00C5205F">
      <w:pPr>
        <w:spacing w:line="240" w:lineRule="auto"/>
        <w:jc w:val="center"/>
        <w:rPr>
          <w:rFonts w:cs="Arial"/>
          <w:sz w:val="24"/>
          <w:szCs w:val="24"/>
          <w:lang w:val="en-US"/>
        </w:rPr>
      </w:pPr>
      <w:r w:rsidRPr="00C5205F">
        <w:rPr>
          <w:rFonts w:cs="Arial"/>
          <w:b/>
          <w:sz w:val="24"/>
          <w:szCs w:val="24"/>
          <w:lang w:val="en-US"/>
        </w:rPr>
        <w:t>SIGNAL CONDITIONING FOR LONG BIOGRAPHICAL SURFACE BIOPOTENTIALS WITH DRY SURFACE ELECTRODES.</w:t>
      </w:r>
    </w:p>
    <w:p w14:paraId="7F0C0358" w14:textId="35BF5144" w:rsidR="00F169AC" w:rsidRPr="00DD11DE" w:rsidRDefault="00C5205F" w:rsidP="003D568A">
      <w:pPr>
        <w:spacing w:after="0" w:line="276" w:lineRule="auto"/>
        <w:jc w:val="right"/>
        <w:rPr>
          <w:rFonts w:cs="Arial"/>
          <w:sz w:val="24"/>
          <w:szCs w:val="24"/>
        </w:rPr>
      </w:pPr>
      <w:r>
        <w:rPr>
          <w:rFonts w:cs="Arial"/>
          <w:sz w:val="24"/>
          <w:szCs w:val="24"/>
        </w:rPr>
        <w:t xml:space="preserve">M.C. </w:t>
      </w:r>
      <w:r w:rsidR="00B8497C" w:rsidRPr="00B8497C">
        <w:rPr>
          <w:rFonts w:cs="Arial"/>
          <w:sz w:val="24"/>
          <w:szCs w:val="24"/>
        </w:rPr>
        <w:t>Julio Cesar Gallo Sánchez</w:t>
      </w:r>
      <w:r w:rsidR="00F169AC">
        <w:rPr>
          <w:rStyle w:val="FootnoteReference"/>
          <w:rFonts w:cs="Arial"/>
          <w:sz w:val="24"/>
          <w:szCs w:val="24"/>
        </w:rPr>
        <w:footnoteReference w:id="1"/>
      </w:r>
    </w:p>
    <w:p w14:paraId="0AE93830" w14:textId="14D1646E" w:rsidR="00F169AC" w:rsidRPr="00DD11DE" w:rsidRDefault="00C5205F" w:rsidP="003D568A">
      <w:pPr>
        <w:spacing w:after="0" w:line="276" w:lineRule="auto"/>
        <w:jc w:val="right"/>
        <w:rPr>
          <w:rFonts w:cs="Arial"/>
          <w:sz w:val="24"/>
          <w:szCs w:val="24"/>
        </w:rPr>
      </w:pPr>
      <w:r w:rsidRPr="00C5205F">
        <w:rPr>
          <w:rFonts w:cs="Arial"/>
          <w:sz w:val="24"/>
          <w:szCs w:val="24"/>
        </w:rPr>
        <w:t>Dra. Ofelia Barrios Vargas</w:t>
      </w:r>
      <w:r w:rsidR="00F169AC">
        <w:rPr>
          <w:rStyle w:val="FootnoteReference"/>
          <w:rFonts w:cs="Arial"/>
          <w:sz w:val="24"/>
          <w:szCs w:val="24"/>
        </w:rPr>
        <w:footnoteReference w:id="2"/>
      </w:r>
      <w:r w:rsidR="00F169AC" w:rsidRPr="00DD11DE">
        <w:rPr>
          <w:rFonts w:cs="Arial"/>
          <w:sz w:val="24"/>
          <w:szCs w:val="24"/>
        </w:rPr>
        <w:t xml:space="preserve"> </w:t>
      </w:r>
    </w:p>
    <w:p w14:paraId="301D4E99" w14:textId="692129BD" w:rsidR="00F169AC" w:rsidRPr="00DD11DE" w:rsidRDefault="000177BD" w:rsidP="003D568A">
      <w:pPr>
        <w:spacing w:after="0" w:line="276" w:lineRule="auto"/>
        <w:jc w:val="right"/>
        <w:rPr>
          <w:rFonts w:cs="Arial"/>
          <w:sz w:val="24"/>
          <w:szCs w:val="24"/>
        </w:rPr>
      </w:pPr>
      <w:r w:rsidRPr="000177BD">
        <w:rPr>
          <w:rFonts w:cs="Arial"/>
          <w:sz w:val="24"/>
          <w:szCs w:val="24"/>
        </w:rPr>
        <w:t>M.C. Osvaldo Lira Díaz</w:t>
      </w:r>
      <w:r w:rsidR="00F169AC">
        <w:rPr>
          <w:rStyle w:val="FootnoteReference"/>
          <w:rFonts w:cs="Arial"/>
          <w:sz w:val="24"/>
          <w:szCs w:val="24"/>
        </w:rPr>
        <w:footnoteReference w:id="3"/>
      </w:r>
    </w:p>
    <w:p w14:paraId="6F5D1028" w14:textId="0A94EC70" w:rsidR="00F169AC" w:rsidRPr="00DD11DE" w:rsidRDefault="000177BD" w:rsidP="003D568A">
      <w:pPr>
        <w:spacing w:after="0" w:line="276" w:lineRule="auto"/>
        <w:jc w:val="right"/>
        <w:rPr>
          <w:rFonts w:cs="Arial"/>
          <w:sz w:val="24"/>
          <w:szCs w:val="24"/>
        </w:rPr>
      </w:pPr>
      <w:r w:rsidRPr="000177BD">
        <w:rPr>
          <w:rFonts w:cs="Arial"/>
          <w:sz w:val="24"/>
          <w:szCs w:val="24"/>
        </w:rPr>
        <w:t>Ing. Jesús Felipe Vázquez Barrios</w:t>
      </w:r>
      <w:r w:rsidR="00F169AC">
        <w:rPr>
          <w:rStyle w:val="FootnoteReference"/>
          <w:rFonts w:cs="Arial"/>
          <w:sz w:val="24"/>
          <w:szCs w:val="24"/>
        </w:rPr>
        <w:footnoteReference w:id="4"/>
      </w:r>
    </w:p>
    <w:p w14:paraId="6041C0CC" w14:textId="07B3026A" w:rsidR="00F169AC" w:rsidRPr="00DD11DE" w:rsidRDefault="00F169AC" w:rsidP="000177BD">
      <w:pPr>
        <w:spacing w:after="0" w:line="276" w:lineRule="auto"/>
        <w:rPr>
          <w:rFonts w:cs="Arial"/>
          <w:sz w:val="24"/>
          <w:szCs w:val="24"/>
        </w:rPr>
      </w:pPr>
    </w:p>
    <w:p w14:paraId="069F8D8B" w14:textId="77777777" w:rsidR="002962D4" w:rsidRDefault="002962D4" w:rsidP="00125450">
      <w:pPr>
        <w:rPr>
          <w:rFonts w:eastAsia="Calibri Light," w:cs="Arial"/>
          <w:b/>
          <w:bCs/>
          <w:sz w:val="24"/>
          <w:szCs w:val="20"/>
        </w:rPr>
      </w:pPr>
    </w:p>
    <w:p w14:paraId="7375382D" w14:textId="77777777" w:rsidR="00F169AC" w:rsidRPr="004C43FE" w:rsidRDefault="00F169AC" w:rsidP="00F169AC">
      <w:pPr>
        <w:spacing w:line="240" w:lineRule="auto"/>
        <w:jc w:val="both"/>
        <w:rPr>
          <w:rFonts w:cs="Arial"/>
          <w:b/>
          <w:bCs/>
          <w:szCs w:val="20"/>
        </w:rPr>
      </w:pPr>
      <w:r w:rsidRPr="004C43FE">
        <w:rPr>
          <w:rFonts w:cs="Arial"/>
          <w:b/>
          <w:bCs/>
          <w:sz w:val="24"/>
          <w:szCs w:val="24"/>
        </w:rPr>
        <w:t>RESUMEN</w:t>
      </w:r>
      <w:r w:rsidRPr="004C43FE">
        <w:rPr>
          <w:rFonts w:cs="Arial"/>
          <w:b/>
          <w:bCs/>
          <w:szCs w:val="20"/>
        </w:rPr>
        <w:t xml:space="preserve"> </w:t>
      </w:r>
    </w:p>
    <w:p w14:paraId="4D4B7A5C" w14:textId="77777777" w:rsidR="000177BD" w:rsidRPr="000177BD" w:rsidRDefault="000177BD" w:rsidP="000177BD">
      <w:pPr>
        <w:spacing w:line="240" w:lineRule="auto"/>
        <w:jc w:val="both"/>
        <w:rPr>
          <w:rFonts w:cs="Arial"/>
          <w:b/>
          <w:bCs/>
          <w:szCs w:val="20"/>
        </w:rPr>
      </w:pPr>
      <w:r w:rsidRPr="000177BD">
        <w:rPr>
          <w:rFonts w:cs="Arial"/>
          <w:b/>
          <w:bCs/>
          <w:szCs w:val="20"/>
        </w:rPr>
        <w:t>El desarrollo de este trabajo consiste en la realización de una tarjeta electrónica analógica diseñada con circuitos activos, principalmente amplificadores operacionales de entradas FET y amplificadores de instrumentación, todos de bajo consumo energético, configurados e interconectados para captar las señales generadas por los músculos largos de las extremidades superiores del cuerpo humano. En el mercado no existe una tarjeta de medición para biopotenciales que contenga un preamplificador con tierra virtual de protección eléctrica para el usuario, así como un filtro pasa bandas de 80-300 Hz, un filtro de rechazo de banda de 60 Hz y un suavizador de señal analógica. Esta tarjeta de acondicionamiento de señales electromiográficas con electrodos secos, es capaz de medir la intensidad de contracción de los músculos, entregando una señal de voltaje analógica proporcional al esfuerzo muscular, y nos servirá para realizar la medición de los miembros superiores al accionar herramientas de golpe en trabajos repetitivos, en el estudio de evaluación de riesgos de empresas de metalmecánica.</w:t>
      </w:r>
    </w:p>
    <w:p w14:paraId="3AE6D453" w14:textId="1A12A275" w:rsidR="000177BD" w:rsidRDefault="000177BD" w:rsidP="000177BD">
      <w:pPr>
        <w:spacing w:line="240" w:lineRule="auto"/>
        <w:jc w:val="both"/>
        <w:rPr>
          <w:rFonts w:cs="Arial"/>
          <w:b/>
          <w:bCs/>
          <w:szCs w:val="20"/>
        </w:rPr>
      </w:pPr>
      <w:r w:rsidRPr="000177BD">
        <w:rPr>
          <w:rFonts w:cs="Arial"/>
          <w:b/>
          <w:bCs/>
          <w:sz w:val="24"/>
          <w:szCs w:val="24"/>
        </w:rPr>
        <w:t>PALABRAS CLAVES:</w:t>
      </w:r>
      <w:r w:rsidRPr="000177BD">
        <w:rPr>
          <w:rFonts w:cs="Arial"/>
          <w:b/>
          <w:bCs/>
          <w:szCs w:val="20"/>
        </w:rPr>
        <w:t xml:space="preserve"> </w:t>
      </w:r>
      <w:r w:rsidRPr="000177BD">
        <w:rPr>
          <w:rFonts w:cs="Arial"/>
          <w:szCs w:val="20"/>
        </w:rPr>
        <w:t>Amplificador operacional; amplificador de instrumentación; biopotenciales; electromiografía; filtros activos de segundo orden y sensor muscular seco.</w:t>
      </w:r>
    </w:p>
    <w:p w14:paraId="20753B5A" w14:textId="2F1C01C8" w:rsidR="003D568A" w:rsidRDefault="003D568A" w:rsidP="003D568A">
      <w:pPr>
        <w:rPr>
          <w:rFonts w:eastAsia="Calibri Light," w:cs="Arial"/>
          <w:bCs/>
          <w:szCs w:val="20"/>
        </w:rPr>
      </w:pPr>
      <w:r>
        <w:rPr>
          <w:rFonts w:eastAsia="Calibri Light," w:cs="Arial"/>
          <w:b/>
          <w:bCs/>
          <w:szCs w:val="20"/>
        </w:rPr>
        <w:t xml:space="preserve">Fecha de recepción: </w:t>
      </w:r>
      <w:r>
        <w:rPr>
          <w:rFonts w:eastAsia="Calibri Light," w:cs="Arial"/>
          <w:bCs/>
          <w:szCs w:val="20"/>
        </w:rPr>
        <w:t>19 de enero, 202</w:t>
      </w:r>
      <w:r w:rsidR="00B8497C">
        <w:rPr>
          <w:rFonts w:eastAsia="Calibri Light," w:cs="Arial"/>
          <w:bCs/>
          <w:szCs w:val="20"/>
        </w:rPr>
        <w:t>3</w:t>
      </w:r>
      <w:r>
        <w:rPr>
          <w:rFonts w:eastAsia="Calibri Light," w:cs="Arial"/>
          <w:bCs/>
          <w:szCs w:val="20"/>
        </w:rPr>
        <w:t>.</w:t>
      </w:r>
    </w:p>
    <w:p w14:paraId="4C72AF35" w14:textId="14B8E77C" w:rsidR="003D568A" w:rsidRDefault="003D568A" w:rsidP="003D568A">
      <w:pPr>
        <w:rPr>
          <w:rFonts w:eastAsia="Calibri Light," w:cs="Arial"/>
          <w:b/>
          <w:bCs/>
          <w:szCs w:val="20"/>
        </w:rPr>
      </w:pPr>
      <w:r>
        <w:rPr>
          <w:rFonts w:eastAsia="Calibri Light," w:cs="Arial"/>
          <w:b/>
          <w:bCs/>
          <w:szCs w:val="20"/>
        </w:rPr>
        <w:t xml:space="preserve">Fecha de aceptación: </w:t>
      </w:r>
      <w:r w:rsidR="00B8497C">
        <w:rPr>
          <w:rFonts w:eastAsia="Calibri Light," w:cs="Arial"/>
          <w:bCs/>
          <w:szCs w:val="20"/>
        </w:rPr>
        <w:t>31</w:t>
      </w:r>
      <w:r>
        <w:rPr>
          <w:rFonts w:eastAsia="Calibri Light," w:cs="Arial"/>
          <w:bCs/>
          <w:szCs w:val="20"/>
        </w:rPr>
        <w:t xml:space="preserve"> de </w:t>
      </w:r>
      <w:r w:rsidR="00B8497C">
        <w:rPr>
          <w:rFonts w:eastAsia="Calibri Light," w:cs="Arial"/>
          <w:bCs/>
          <w:szCs w:val="20"/>
        </w:rPr>
        <w:t>marz</w:t>
      </w:r>
      <w:r>
        <w:rPr>
          <w:rFonts w:eastAsia="Calibri Light," w:cs="Arial"/>
          <w:bCs/>
          <w:szCs w:val="20"/>
        </w:rPr>
        <w:t>o, 202</w:t>
      </w:r>
      <w:r w:rsidR="00B8497C">
        <w:rPr>
          <w:rFonts w:eastAsia="Calibri Light," w:cs="Arial"/>
          <w:bCs/>
          <w:szCs w:val="20"/>
        </w:rPr>
        <w:t>3</w:t>
      </w:r>
      <w:r>
        <w:rPr>
          <w:rFonts w:eastAsia="Calibri Light," w:cs="Arial"/>
          <w:bCs/>
          <w:szCs w:val="20"/>
        </w:rPr>
        <w:t>.</w:t>
      </w:r>
      <w:r>
        <w:rPr>
          <w:rFonts w:eastAsia="Calibri Light," w:cs="Arial"/>
          <w:b/>
          <w:bCs/>
          <w:szCs w:val="20"/>
        </w:rPr>
        <w:t xml:space="preserve"> </w:t>
      </w:r>
    </w:p>
    <w:p w14:paraId="15B9BDAA" w14:textId="77777777" w:rsidR="003D568A" w:rsidRDefault="003D568A" w:rsidP="00F169AC">
      <w:pPr>
        <w:spacing w:line="240" w:lineRule="auto"/>
        <w:jc w:val="both"/>
        <w:rPr>
          <w:rFonts w:cs="Arial"/>
          <w:szCs w:val="20"/>
        </w:rPr>
      </w:pPr>
    </w:p>
    <w:p w14:paraId="75DC10A5" w14:textId="77777777" w:rsidR="00F169AC" w:rsidRPr="00C5205F" w:rsidRDefault="00F169AC" w:rsidP="00F169AC">
      <w:pPr>
        <w:spacing w:line="240" w:lineRule="auto"/>
        <w:jc w:val="both"/>
        <w:rPr>
          <w:rFonts w:cs="Arial"/>
          <w:b/>
          <w:bCs/>
          <w:sz w:val="24"/>
          <w:szCs w:val="24"/>
          <w:lang w:val="en-US"/>
        </w:rPr>
      </w:pPr>
      <w:r w:rsidRPr="00C5205F">
        <w:rPr>
          <w:rFonts w:cs="Arial"/>
          <w:b/>
          <w:bCs/>
          <w:sz w:val="24"/>
          <w:szCs w:val="24"/>
          <w:lang w:val="en-US"/>
        </w:rPr>
        <w:lastRenderedPageBreak/>
        <w:t>ABSTRACT</w:t>
      </w:r>
    </w:p>
    <w:p w14:paraId="0B8F0F28" w14:textId="77777777" w:rsidR="002C1D61" w:rsidRDefault="002C1D61" w:rsidP="00F169AC">
      <w:pPr>
        <w:spacing w:line="240" w:lineRule="auto"/>
        <w:jc w:val="both"/>
        <w:rPr>
          <w:rFonts w:cs="Arial"/>
          <w:b/>
          <w:bCs/>
          <w:szCs w:val="20"/>
          <w:lang w:val="en-US"/>
        </w:rPr>
      </w:pPr>
      <w:r w:rsidRPr="002C1D61">
        <w:rPr>
          <w:rFonts w:cs="Arial"/>
          <w:b/>
          <w:bCs/>
          <w:szCs w:val="20"/>
          <w:lang w:val="en-US"/>
        </w:rPr>
        <w:t>The development of this work consists in the realization of an electronic board with active circuits, mainly operational amplifiers with FET inputs and instrumentation amplifiers, all low energy consumption, configured to capture the signals produced by the long muscles of the extremities of upper part of the human body. There is not a measurement board for biopotentials on the market that contains a preamplifier that contains a virtual ground for electrical protection for the user, as well as an 80-300 Hertz bandpass filter, a 60 Hertz band reject filter, and a signal smoother. This electromyographic signal conditioning card with dry electrodes can measure the intensity of muscle contraction, delivering a designation voltage signal proportional to muscle effort, and will help us measure the upper limbs when driving impact tools in repetitive jobs, in the risk assessment study of metalworking companies.</w:t>
      </w:r>
    </w:p>
    <w:p w14:paraId="04461065" w14:textId="5FF31590" w:rsidR="00F169AC" w:rsidRPr="00C5205F" w:rsidRDefault="00F169AC" w:rsidP="00F169AC">
      <w:pPr>
        <w:spacing w:line="240" w:lineRule="auto"/>
        <w:jc w:val="both"/>
        <w:rPr>
          <w:rFonts w:cs="Arial"/>
          <w:b/>
          <w:bCs/>
          <w:szCs w:val="20"/>
          <w:lang w:val="en-US"/>
        </w:rPr>
      </w:pPr>
      <w:r w:rsidRPr="00C5205F">
        <w:rPr>
          <w:rFonts w:cs="Arial"/>
          <w:b/>
          <w:bCs/>
          <w:sz w:val="24"/>
          <w:szCs w:val="24"/>
          <w:lang w:val="en-US"/>
        </w:rPr>
        <w:t>KEYWORDS</w:t>
      </w:r>
      <w:r w:rsidRPr="00C5205F">
        <w:rPr>
          <w:rFonts w:cs="Arial"/>
          <w:b/>
          <w:bCs/>
          <w:szCs w:val="20"/>
          <w:lang w:val="en-US"/>
        </w:rPr>
        <w:t xml:space="preserve">: </w:t>
      </w:r>
      <w:r w:rsidR="002C1D61" w:rsidRPr="002C1D61">
        <w:rPr>
          <w:rFonts w:cs="Arial"/>
          <w:szCs w:val="20"/>
          <w:lang w:val="en-US"/>
        </w:rPr>
        <w:t>Operational amplifier; Instrumentation amplifier; Dry muscle sensor; Biopotentials, Amplifier for Biopotentials; Surface electromyography; Second order active filters.</w:t>
      </w:r>
    </w:p>
    <w:p w14:paraId="09EEF0D1" w14:textId="77777777" w:rsidR="004343B2" w:rsidRPr="00C5205F" w:rsidRDefault="004343B2" w:rsidP="00F169AC">
      <w:pPr>
        <w:spacing w:line="240" w:lineRule="auto"/>
        <w:jc w:val="both"/>
        <w:rPr>
          <w:rFonts w:cs="Arial"/>
          <w:b/>
          <w:bCs/>
          <w:sz w:val="24"/>
          <w:szCs w:val="24"/>
          <w:lang w:val="en-US"/>
        </w:rPr>
      </w:pPr>
    </w:p>
    <w:p w14:paraId="0EEFA618" w14:textId="4E901E80" w:rsidR="00F169AC" w:rsidRPr="00F646EB" w:rsidRDefault="00F169AC" w:rsidP="00F169AC">
      <w:pPr>
        <w:spacing w:line="240" w:lineRule="auto"/>
        <w:jc w:val="both"/>
        <w:rPr>
          <w:rFonts w:cs="Arial"/>
          <w:b/>
          <w:bCs/>
          <w:sz w:val="24"/>
          <w:szCs w:val="24"/>
        </w:rPr>
      </w:pPr>
      <w:r w:rsidRPr="00F646EB">
        <w:rPr>
          <w:rFonts w:cs="Arial"/>
          <w:b/>
          <w:bCs/>
          <w:sz w:val="24"/>
          <w:szCs w:val="24"/>
        </w:rPr>
        <w:t>INTRODUCCIÓN</w:t>
      </w:r>
    </w:p>
    <w:p w14:paraId="44CDA711" w14:textId="14C053BC" w:rsidR="002C1D61" w:rsidRPr="002C1D61" w:rsidRDefault="002C1D61" w:rsidP="002C1D61">
      <w:pPr>
        <w:spacing w:line="240" w:lineRule="auto"/>
        <w:jc w:val="both"/>
        <w:rPr>
          <w:rFonts w:cs="Arial"/>
          <w:szCs w:val="20"/>
        </w:rPr>
      </w:pPr>
      <w:r w:rsidRPr="002C1D61">
        <w:rPr>
          <w:rFonts w:cs="Arial"/>
          <w:szCs w:val="20"/>
        </w:rPr>
        <w:t>La electromiografía (EMG), es una disciplina la cual detecta, analiza y procesa las señales eléctricas emitidas por la contracción de los músculos. Internamente los músculos generan tensiones alrededor de 100 mV cuando se contraen. Estas tensiones son muy atenuadas por el tejido interno y la piel, son débiles pero mesurables en la superficie de la piel. Típicas señales EMG superficiales (sEMG) para los músculos largos, como el bíceps, están alrededor de 2.1mV en amplitud. Señales sEMG contienen frecuencias que van de 2 Hz o inferior a 500 Hz o mayores (De Luca, 2006).</w:t>
      </w:r>
    </w:p>
    <w:p w14:paraId="45609093" w14:textId="455E3C2D" w:rsidR="004343B2" w:rsidRDefault="002C1D61" w:rsidP="002C1D61">
      <w:pPr>
        <w:spacing w:line="240" w:lineRule="auto"/>
        <w:jc w:val="both"/>
        <w:rPr>
          <w:rFonts w:cs="Arial"/>
          <w:szCs w:val="20"/>
        </w:rPr>
      </w:pPr>
      <w:r w:rsidRPr="002C1D61">
        <w:rPr>
          <w:rFonts w:cs="Arial"/>
          <w:szCs w:val="20"/>
        </w:rPr>
        <w:t>Los biopotenciales en el cuerpo humano son generados por los procesos bioquímicos involucrados en el funcionamiento de las células. Esta actividad bioquímica se manifiesta como campos eléctricos que se propagan en todas direcciones dentro del cuerpo hasta manifestarse en la piel. Estos procesos de generación y propagación de los campos eléctricos son muy complejos, pero se pueden utilizar modelos eléctricos simples obteniendo resultados aceptables. El modelo eléctrico de la piel consiste en una fuente de voltaje en serie con un circuito paralelo R-C (Chi, Jung &amp; Cauwenberghs 2010). La fuente de voltaje representa la señal eléctrica (biopotencial) que se desea medir y el circuito R-C la impedancia de la piel. La figura 1 muestra el modelo eléctrico equivalente de la interfaz piel-electrodo, utilizado para el diseño del electrodo seco (Mújica, 2011).</w:t>
      </w:r>
    </w:p>
    <w:p w14:paraId="187132FE" w14:textId="25F3A258" w:rsidR="002C1D61" w:rsidRDefault="002C1D61" w:rsidP="002C1D61">
      <w:pPr>
        <w:spacing w:line="240" w:lineRule="auto"/>
        <w:jc w:val="both"/>
        <w:rPr>
          <w:rFonts w:cs="Arial"/>
          <w:b/>
          <w:bCs/>
          <w:sz w:val="24"/>
          <w:szCs w:val="24"/>
        </w:rPr>
      </w:pPr>
      <w:r>
        <w:rPr>
          <w:rFonts w:cs="Arial"/>
          <w:b/>
          <w:noProof/>
          <w:color w:val="FF0000"/>
          <w:szCs w:val="20"/>
          <w:lang w:eastAsia="es-MX"/>
        </w:rPr>
        <w:drawing>
          <wp:anchor distT="0" distB="0" distL="114300" distR="114300" simplePos="0" relativeHeight="251669504" behindDoc="0" locked="0" layoutInCell="1" allowOverlap="1" wp14:anchorId="1E92D3F4" wp14:editId="401144E3">
            <wp:simplePos x="0" y="0"/>
            <wp:positionH relativeFrom="column">
              <wp:posOffset>1679575</wp:posOffset>
            </wp:positionH>
            <wp:positionV relativeFrom="paragraph">
              <wp:posOffset>66675</wp:posOffset>
            </wp:positionV>
            <wp:extent cx="2339975" cy="1912620"/>
            <wp:effectExtent l="38100" t="38100" r="98425" b="106680"/>
            <wp:wrapThrough wrapText="bothSides">
              <wp:wrapPolygon edited="0">
                <wp:start x="-117" y="-430"/>
                <wp:lineTo x="-352" y="-287"/>
                <wp:lineTo x="-352" y="22088"/>
                <wp:lineTo x="-234" y="22661"/>
                <wp:lineTo x="22157" y="22661"/>
                <wp:lineTo x="22391" y="20367"/>
                <wp:lineTo x="22391" y="2008"/>
                <wp:lineTo x="22040" y="-143"/>
                <wp:lineTo x="22040" y="-430"/>
                <wp:lineTo x="-117" y="-43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clrChange>
                        <a:clrFrom>
                          <a:srgbClr val="FFFFFF"/>
                        </a:clrFrom>
                        <a:clrTo>
                          <a:srgbClr val="FFFFFF">
                            <a:alpha val="0"/>
                          </a:srgbClr>
                        </a:clrTo>
                      </a:clrChange>
                      <a:extLst>
                        <a:ext uri="{BEBA8EAE-BF5A-486C-A8C5-ECC9F3942E4B}">
                          <a14:imgProps xmlns:a14="http://schemas.microsoft.com/office/drawing/2010/main">
                            <a14:imgLayer r:embed="rId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339975" cy="19126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5FD946F" w14:textId="70338F83" w:rsidR="002C1D61" w:rsidRDefault="002C1D61" w:rsidP="002C1D61">
      <w:pPr>
        <w:spacing w:line="240" w:lineRule="auto"/>
        <w:jc w:val="both"/>
        <w:rPr>
          <w:rFonts w:cs="Arial"/>
          <w:b/>
          <w:bCs/>
          <w:sz w:val="24"/>
          <w:szCs w:val="24"/>
        </w:rPr>
      </w:pPr>
    </w:p>
    <w:p w14:paraId="37A32A11" w14:textId="17A35370" w:rsidR="002C1D61" w:rsidRDefault="002C1D61" w:rsidP="002C1D61">
      <w:pPr>
        <w:spacing w:line="240" w:lineRule="auto"/>
        <w:jc w:val="both"/>
        <w:rPr>
          <w:rFonts w:cs="Arial"/>
          <w:b/>
          <w:bCs/>
          <w:sz w:val="24"/>
          <w:szCs w:val="24"/>
        </w:rPr>
      </w:pPr>
    </w:p>
    <w:p w14:paraId="30E7F5A8" w14:textId="09018281" w:rsidR="002C1D61" w:rsidRDefault="002C1D61" w:rsidP="002C1D61">
      <w:pPr>
        <w:spacing w:line="240" w:lineRule="auto"/>
        <w:jc w:val="both"/>
        <w:rPr>
          <w:rFonts w:cs="Arial"/>
          <w:b/>
          <w:bCs/>
          <w:sz w:val="24"/>
          <w:szCs w:val="24"/>
        </w:rPr>
      </w:pPr>
    </w:p>
    <w:p w14:paraId="4B3761DD" w14:textId="0EA7D892" w:rsidR="002C1D61" w:rsidRDefault="002C1D61" w:rsidP="002C1D61">
      <w:pPr>
        <w:spacing w:line="240" w:lineRule="auto"/>
        <w:jc w:val="both"/>
        <w:rPr>
          <w:rFonts w:cs="Arial"/>
          <w:b/>
          <w:bCs/>
          <w:sz w:val="24"/>
          <w:szCs w:val="24"/>
        </w:rPr>
      </w:pPr>
    </w:p>
    <w:p w14:paraId="582C2145" w14:textId="33DCABAD" w:rsidR="002C1D61" w:rsidRDefault="002C1D61" w:rsidP="002C1D61">
      <w:pPr>
        <w:spacing w:line="240" w:lineRule="auto"/>
        <w:jc w:val="both"/>
        <w:rPr>
          <w:rFonts w:cs="Arial"/>
          <w:b/>
          <w:bCs/>
          <w:sz w:val="24"/>
          <w:szCs w:val="24"/>
        </w:rPr>
      </w:pPr>
    </w:p>
    <w:p w14:paraId="33B2E04B" w14:textId="70536BEB" w:rsidR="002C1D61" w:rsidRDefault="002C1D61" w:rsidP="002C1D61">
      <w:pPr>
        <w:spacing w:line="240" w:lineRule="auto"/>
        <w:jc w:val="both"/>
        <w:rPr>
          <w:rFonts w:cs="Arial"/>
          <w:b/>
          <w:bCs/>
          <w:sz w:val="24"/>
          <w:szCs w:val="24"/>
        </w:rPr>
      </w:pPr>
    </w:p>
    <w:p w14:paraId="4B600BEF" w14:textId="3EB6A984" w:rsidR="002C1D61" w:rsidRDefault="002C1D61" w:rsidP="002C1D61">
      <w:pPr>
        <w:spacing w:line="240" w:lineRule="auto"/>
        <w:jc w:val="both"/>
        <w:rPr>
          <w:rFonts w:cs="Arial"/>
          <w:b/>
          <w:bCs/>
          <w:sz w:val="24"/>
          <w:szCs w:val="24"/>
        </w:rPr>
      </w:pPr>
    </w:p>
    <w:p w14:paraId="326EAA5D" w14:textId="77777777" w:rsidR="00F50D39" w:rsidRPr="007C2428" w:rsidRDefault="00F50D39" w:rsidP="00F50D39">
      <w:pPr>
        <w:autoSpaceDE w:val="0"/>
        <w:autoSpaceDN w:val="0"/>
        <w:adjustRightInd w:val="0"/>
        <w:spacing w:after="0" w:line="240" w:lineRule="auto"/>
        <w:jc w:val="center"/>
        <w:rPr>
          <w:rFonts w:cs="Arial"/>
          <w:b/>
          <w:sz w:val="18"/>
          <w:szCs w:val="18"/>
        </w:rPr>
      </w:pPr>
      <w:r w:rsidRPr="007C2428">
        <w:rPr>
          <w:rFonts w:cs="Arial"/>
          <w:b/>
          <w:color w:val="000000" w:themeColor="text1"/>
          <w:sz w:val="18"/>
          <w:szCs w:val="18"/>
        </w:rPr>
        <w:t xml:space="preserve">Figura 1. </w:t>
      </w:r>
      <w:r w:rsidRPr="007C2428">
        <w:rPr>
          <w:rFonts w:cs="Arial"/>
          <w:b/>
          <w:sz w:val="18"/>
          <w:szCs w:val="18"/>
        </w:rPr>
        <w:t>(a) Modelo eléctrico de la interfaz piel-electrodo. (b) Modelo eléctrico con la impedancia de entrada del amplificador (Ze) y la impedancia equivalente (Za) del electrodo.</w:t>
      </w:r>
    </w:p>
    <w:p w14:paraId="0091F0B1" w14:textId="79CB7191" w:rsidR="002C1D61" w:rsidRDefault="002C1D61" w:rsidP="002C1D61">
      <w:pPr>
        <w:spacing w:line="240" w:lineRule="auto"/>
        <w:jc w:val="both"/>
        <w:rPr>
          <w:rFonts w:cs="Arial"/>
          <w:b/>
          <w:bCs/>
          <w:sz w:val="24"/>
          <w:szCs w:val="24"/>
        </w:rPr>
      </w:pPr>
    </w:p>
    <w:p w14:paraId="0CD0BB85" w14:textId="77777777" w:rsidR="002C1D61" w:rsidRDefault="002C1D61" w:rsidP="002C1D61">
      <w:pPr>
        <w:spacing w:line="240" w:lineRule="auto"/>
        <w:jc w:val="both"/>
        <w:rPr>
          <w:rFonts w:cs="Arial"/>
          <w:b/>
          <w:bCs/>
          <w:sz w:val="24"/>
          <w:szCs w:val="24"/>
        </w:rPr>
      </w:pPr>
    </w:p>
    <w:p w14:paraId="1BB645AF" w14:textId="77777777" w:rsidR="00F50D39" w:rsidRPr="00BE50B7" w:rsidRDefault="00F50D39" w:rsidP="00F50D39">
      <w:pPr>
        <w:autoSpaceDE w:val="0"/>
        <w:autoSpaceDN w:val="0"/>
        <w:adjustRightInd w:val="0"/>
        <w:spacing w:after="0" w:line="240" w:lineRule="auto"/>
        <w:jc w:val="both"/>
        <w:rPr>
          <w:rFonts w:cs="Arial"/>
          <w:szCs w:val="20"/>
        </w:rPr>
      </w:pPr>
      <w:r w:rsidRPr="00BE50B7">
        <w:rPr>
          <w:rFonts w:cs="Arial"/>
          <w:szCs w:val="20"/>
        </w:rPr>
        <w:t xml:space="preserve">Cs representa la capacitancia formada entre la piel y la placa censora del electrodo, Za la impedancia serie formada por la piel y Cs, y Ze es la impedancia de entrada del amplificador operacional (A.O. ideal); Vb es el biopotencial que se quiere detectar, Ve es la fracción de Vb que se amplifica, y Vs es el biopotencial amplificado. </w:t>
      </w:r>
    </w:p>
    <w:p w14:paraId="3A9BF98E" w14:textId="77777777" w:rsidR="00F50D39" w:rsidRPr="00BE50B7" w:rsidRDefault="00F50D39" w:rsidP="00F50D39">
      <w:pPr>
        <w:autoSpaceDE w:val="0"/>
        <w:autoSpaceDN w:val="0"/>
        <w:adjustRightInd w:val="0"/>
        <w:spacing w:after="0" w:line="240" w:lineRule="auto"/>
        <w:jc w:val="both"/>
        <w:rPr>
          <w:rFonts w:cs="Arial"/>
          <w:color w:val="FF0000"/>
          <w:szCs w:val="20"/>
        </w:rPr>
      </w:pPr>
      <w:r w:rsidRPr="00BE50B7">
        <w:rPr>
          <w:rFonts w:cs="Arial"/>
          <w:szCs w:val="20"/>
        </w:rPr>
        <w:t xml:space="preserve">Para el registro de señales </w:t>
      </w:r>
      <w:r>
        <w:rPr>
          <w:rFonts w:cs="Arial"/>
          <w:szCs w:val="20"/>
        </w:rPr>
        <w:t>electrocardiográficas (</w:t>
      </w:r>
      <w:r w:rsidRPr="00BE50B7">
        <w:rPr>
          <w:rFonts w:cs="Arial"/>
          <w:szCs w:val="20"/>
        </w:rPr>
        <w:t>ECG</w:t>
      </w:r>
      <w:r>
        <w:rPr>
          <w:rFonts w:cs="Arial"/>
          <w:szCs w:val="20"/>
        </w:rPr>
        <w:t>)</w:t>
      </w:r>
      <w:r w:rsidRPr="00BE50B7">
        <w:rPr>
          <w:rFonts w:cs="Arial"/>
          <w:szCs w:val="20"/>
        </w:rPr>
        <w:t xml:space="preserve"> en aplicaciones clínicas el ancho de banda utilizado es de 0.05-100 Hz, mientras que para aplicaciones de monitoreo ambulatorio el ancho de banda se restringe </w:t>
      </w:r>
      <w:r>
        <w:rPr>
          <w:rFonts w:cs="Arial"/>
          <w:szCs w:val="20"/>
        </w:rPr>
        <w:t>de</w:t>
      </w:r>
      <w:r w:rsidRPr="00BE50B7">
        <w:rPr>
          <w:rFonts w:cs="Arial"/>
          <w:szCs w:val="20"/>
        </w:rPr>
        <w:t xml:space="preserve"> 0.5-50 Hz (Tompkins, 1993). En el intervalo de frecuencias de 0.1-100 Hz, la impedancia del sensor Cs es mucho mayor que la impedancia de la piel (Rb, Cb), por lo que la impedancia del sensor Cs predomina en Za. Se desprecia la impedancia de la piel por lo que </w:t>
      </w:r>
      <w:r w:rsidRPr="00BE50B7">
        <w:rPr>
          <w:rFonts w:cs="Arial"/>
          <w:i/>
          <w:iCs/>
          <w:szCs w:val="20"/>
        </w:rPr>
        <w:t>Za ≈ 1/(jωCs)</w:t>
      </w:r>
      <w:r w:rsidRPr="00BE50B7">
        <w:rPr>
          <w:rFonts w:cs="Arial"/>
          <w:szCs w:val="20"/>
        </w:rPr>
        <w:t>, siendo este parámetro el que se utiliza en el diseño del electrodo. La tabla 1 muestra los valores de las magnitudes de las impedancias de la piel (Rb, Cb) y del sensor muscular seco (Cs) para 5 frecuencias (Mújica, 2011)</w:t>
      </w:r>
      <w:r>
        <w:rPr>
          <w:rFonts w:cs="Arial"/>
          <w:szCs w:val="20"/>
        </w:rPr>
        <w:t>.</w:t>
      </w:r>
    </w:p>
    <w:p w14:paraId="0CC19228" w14:textId="77777777" w:rsidR="00F50D39" w:rsidRPr="001B3AB6" w:rsidRDefault="00F50D39" w:rsidP="00F50D39">
      <w:pPr>
        <w:spacing w:after="0" w:line="240" w:lineRule="auto"/>
        <w:jc w:val="both"/>
        <w:rPr>
          <w:rFonts w:eastAsia="Times New Roman" w:cs="Arial"/>
          <w:sz w:val="24"/>
          <w:szCs w:val="24"/>
          <w:lang w:eastAsia="es-ES"/>
        </w:rPr>
      </w:pPr>
    </w:p>
    <w:p w14:paraId="7910CCA3" w14:textId="77777777" w:rsidR="00F50D39" w:rsidRPr="007C2428" w:rsidRDefault="00F50D39" w:rsidP="00F50D39">
      <w:pPr>
        <w:autoSpaceDE w:val="0"/>
        <w:autoSpaceDN w:val="0"/>
        <w:adjustRightInd w:val="0"/>
        <w:spacing w:after="0" w:line="240" w:lineRule="auto"/>
        <w:jc w:val="both"/>
        <w:rPr>
          <w:rFonts w:cs="Arial"/>
          <w:b/>
          <w:color w:val="000000"/>
          <w:sz w:val="18"/>
          <w:szCs w:val="18"/>
        </w:rPr>
      </w:pPr>
      <w:r w:rsidRPr="007C2428">
        <w:rPr>
          <w:rFonts w:cs="Arial"/>
          <w:b/>
          <w:bCs/>
          <w:color w:val="000000" w:themeColor="text1"/>
          <w:sz w:val="18"/>
          <w:szCs w:val="18"/>
        </w:rPr>
        <w:t>Tabla 1</w:t>
      </w:r>
      <w:r w:rsidRPr="007C2428">
        <w:rPr>
          <w:rFonts w:cs="Arial"/>
          <w:b/>
          <w:color w:val="000000" w:themeColor="text1"/>
          <w:sz w:val="18"/>
          <w:szCs w:val="18"/>
        </w:rPr>
        <w:t xml:space="preserve">. </w:t>
      </w:r>
      <w:r w:rsidRPr="007C2428">
        <w:rPr>
          <w:rFonts w:cs="Arial"/>
          <w:b/>
          <w:color w:val="000000"/>
          <w:sz w:val="18"/>
          <w:szCs w:val="18"/>
        </w:rPr>
        <w:t>Magnitudes de las impedancias de la piel (1) y del sensor muscular seco (2) para 5 valores de frecuencia.</w:t>
      </w:r>
    </w:p>
    <w:tbl>
      <w:tblPr>
        <w:tblStyle w:val="TableGrid"/>
        <w:tblW w:w="0" w:type="auto"/>
        <w:jc w:val="center"/>
        <w:tblLook w:val="04A0" w:firstRow="1" w:lastRow="0" w:firstColumn="1" w:lastColumn="0" w:noHBand="0" w:noVBand="1"/>
      </w:tblPr>
      <w:tblGrid>
        <w:gridCol w:w="1926"/>
        <w:gridCol w:w="718"/>
        <w:gridCol w:w="718"/>
        <w:gridCol w:w="828"/>
        <w:gridCol w:w="939"/>
        <w:gridCol w:w="939"/>
      </w:tblGrid>
      <w:tr w:rsidR="00F50D39" w:rsidRPr="00FC1AB3" w14:paraId="395E3A7B" w14:textId="77777777" w:rsidTr="00F50D39">
        <w:trPr>
          <w:jc w:val="center"/>
        </w:trPr>
        <w:tc>
          <w:tcPr>
            <w:tcW w:w="1926" w:type="dxa"/>
          </w:tcPr>
          <w:p w14:paraId="1D37B7D2" w14:textId="77777777" w:rsidR="00F50D39" w:rsidRPr="00FC1AB3" w:rsidRDefault="00F50D39" w:rsidP="0017751D">
            <w:pPr>
              <w:autoSpaceDE w:val="0"/>
              <w:autoSpaceDN w:val="0"/>
              <w:adjustRightInd w:val="0"/>
              <w:jc w:val="center"/>
              <w:rPr>
                <w:rFonts w:cs="Arial"/>
                <w:color w:val="000000"/>
                <w:szCs w:val="20"/>
              </w:rPr>
            </w:pPr>
            <w:r w:rsidRPr="00FC1AB3">
              <w:rPr>
                <w:rFonts w:cs="Arial"/>
                <w:color w:val="000000"/>
                <w:szCs w:val="20"/>
              </w:rPr>
              <w:t>F(Hz)</w:t>
            </w:r>
          </w:p>
        </w:tc>
        <w:tc>
          <w:tcPr>
            <w:tcW w:w="718" w:type="dxa"/>
          </w:tcPr>
          <w:p w14:paraId="7D93A244" w14:textId="77777777" w:rsidR="00F50D39" w:rsidRPr="00FC1AB3" w:rsidRDefault="00F50D39" w:rsidP="0017751D">
            <w:pPr>
              <w:autoSpaceDE w:val="0"/>
              <w:autoSpaceDN w:val="0"/>
              <w:adjustRightInd w:val="0"/>
              <w:jc w:val="center"/>
              <w:rPr>
                <w:rFonts w:cs="Arial"/>
                <w:color w:val="000000"/>
                <w:szCs w:val="20"/>
              </w:rPr>
            </w:pPr>
            <w:r w:rsidRPr="00FC1AB3">
              <w:rPr>
                <w:rFonts w:cs="Arial"/>
                <w:color w:val="000000"/>
                <w:szCs w:val="20"/>
              </w:rPr>
              <w:t>0.1</w:t>
            </w:r>
          </w:p>
        </w:tc>
        <w:tc>
          <w:tcPr>
            <w:tcW w:w="718" w:type="dxa"/>
          </w:tcPr>
          <w:p w14:paraId="23C506A3" w14:textId="77777777" w:rsidR="00F50D39" w:rsidRPr="00FC1AB3" w:rsidRDefault="00F50D39" w:rsidP="0017751D">
            <w:pPr>
              <w:autoSpaceDE w:val="0"/>
              <w:autoSpaceDN w:val="0"/>
              <w:adjustRightInd w:val="0"/>
              <w:jc w:val="center"/>
              <w:rPr>
                <w:rFonts w:cs="Arial"/>
                <w:color w:val="000000"/>
                <w:szCs w:val="20"/>
              </w:rPr>
            </w:pPr>
            <w:r w:rsidRPr="00FC1AB3">
              <w:rPr>
                <w:rFonts w:cs="Arial"/>
                <w:color w:val="000000"/>
                <w:szCs w:val="20"/>
              </w:rPr>
              <w:t>1</w:t>
            </w:r>
          </w:p>
        </w:tc>
        <w:tc>
          <w:tcPr>
            <w:tcW w:w="828" w:type="dxa"/>
          </w:tcPr>
          <w:p w14:paraId="589C5F79" w14:textId="77777777" w:rsidR="00F50D39" w:rsidRPr="00FC1AB3" w:rsidRDefault="00F50D39" w:rsidP="0017751D">
            <w:pPr>
              <w:autoSpaceDE w:val="0"/>
              <w:autoSpaceDN w:val="0"/>
              <w:adjustRightInd w:val="0"/>
              <w:jc w:val="center"/>
              <w:rPr>
                <w:rFonts w:cs="Arial"/>
                <w:color w:val="000000"/>
                <w:szCs w:val="20"/>
              </w:rPr>
            </w:pPr>
            <w:r w:rsidRPr="00FC1AB3">
              <w:rPr>
                <w:rFonts w:cs="Arial"/>
                <w:color w:val="000000"/>
                <w:szCs w:val="20"/>
              </w:rPr>
              <w:t>10</w:t>
            </w:r>
          </w:p>
        </w:tc>
        <w:tc>
          <w:tcPr>
            <w:tcW w:w="939" w:type="dxa"/>
          </w:tcPr>
          <w:p w14:paraId="02079102" w14:textId="77777777" w:rsidR="00F50D39" w:rsidRPr="00FC1AB3" w:rsidRDefault="00F50D39" w:rsidP="0017751D">
            <w:pPr>
              <w:autoSpaceDE w:val="0"/>
              <w:autoSpaceDN w:val="0"/>
              <w:adjustRightInd w:val="0"/>
              <w:jc w:val="center"/>
              <w:rPr>
                <w:rFonts w:cs="Arial"/>
                <w:color w:val="000000"/>
                <w:szCs w:val="20"/>
              </w:rPr>
            </w:pPr>
            <w:r w:rsidRPr="00FC1AB3">
              <w:rPr>
                <w:rFonts w:cs="Arial"/>
                <w:color w:val="000000"/>
                <w:szCs w:val="20"/>
              </w:rPr>
              <w:t>100</w:t>
            </w:r>
          </w:p>
        </w:tc>
        <w:tc>
          <w:tcPr>
            <w:tcW w:w="939" w:type="dxa"/>
          </w:tcPr>
          <w:p w14:paraId="7752AA5A" w14:textId="77777777" w:rsidR="00F50D39" w:rsidRPr="00FC1AB3" w:rsidRDefault="00F50D39" w:rsidP="0017751D">
            <w:pPr>
              <w:autoSpaceDE w:val="0"/>
              <w:autoSpaceDN w:val="0"/>
              <w:adjustRightInd w:val="0"/>
              <w:jc w:val="center"/>
              <w:rPr>
                <w:rFonts w:cs="Arial"/>
                <w:color w:val="000000"/>
                <w:szCs w:val="20"/>
              </w:rPr>
            </w:pPr>
            <w:r w:rsidRPr="00FC1AB3">
              <w:rPr>
                <w:rFonts w:cs="Arial"/>
                <w:color w:val="000000"/>
                <w:szCs w:val="20"/>
              </w:rPr>
              <w:t>1000</w:t>
            </w:r>
          </w:p>
        </w:tc>
      </w:tr>
      <w:tr w:rsidR="00F50D39" w:rsidRPr="00FC1AB3" w14:paraId="45FCA466" w14:textId="77777777" w:rsidTr="00F50D39">
        <w:trPr>
          <w:jc w:val="center"/>
        </w:trPr>
        <w:tc>
          <w:tcPr>
            <w:tcW w:w="1926" w:type="dxa"/>
          </w:tcPr>
          <w:p w14:paraId="6EF64DEF" w14:textId="77777777" w:rsidR="00F50D39" w:rsidRPr="00FC1AB3" w:rsidRDefault="00F50D39" w:rsidP="0017751D">
            <w:pPr>
              <w:autoSpaceDE w:val="0"/>
              <w:autoSpaceDN w:val="0"/>
              <w:adjustRightInd w:val="0"/>
              <w:jc w:val="center"/>
              <w:rPr>
                <w:rFonts w:cs="Arial"/>
                <w:color w:val="000000"/>
                <w:szCs w:val="20"/>
              </w:rPr>
            </w:pPr>
            <m:oMathPara>
              <m:oMath>
                <m:sSup>
                  <m:sSupPr>
                    <m:ctrlPr>
                      <w:rPr>
                        <w:rFonts w:ascii="Cambria Math" w:hAnsi="Cambria Math" w:cs="Arial"/>
                        <w:i/>
                        <w:color w:val="000000"/>
                        <w:szCs w:val="20"/>
                      </w:rPr>
                    </m:ctrlPr>
                  </m:sSupPr>
                  <m:e>
                    <m:d>
                      <m:dPr>
                        <m:begChr m:val="|"/>
                        <m:endChr m:val="|"/>
                        <m:ctrlPr>
                          <w:rPr>
                            <w:rFonts w:ascii="Cambria Math" w:hAnsi="Cambria Math" w:cs="Arial"/>
                            <w:i/>
                            <w:color w:val="000000"/>
                            <w:szCs w:val="20"/>
                          </w:rPr>
                        </m:ctrlPr>
                      </m:dPr>
                      <m:e>
                        <m:f>
                          <m:fPr>
                            <m:ctrlPr>
                              <w:rPr>
                                <w:rFonts w:ascii="Cambria Math" w:hAnsi="Cambria Math" w:cs="Arial"/>
                                <w:i/>
                                <w:color w:val="000000"/>
                                <w:szCs w:val="20"/>
                              </w:rPr>
                            </m:ctrlPr>
                          </m:fPr>
                          <m:num>
                            <m:r>
                              <w:rPr>
                                <w:rFonts w:ascii="Cambria Math" w:hAnsi="Cambria Math" w:cs="Arial"/>
                                <w:color w:val="000000"/>
                                <w:szCs w:val="20"/>
                              </w:rPr>
                              <m:t>Rb</m:t>
                            </m:r>
                          </m:num>
                          <m:den>
                            <m:r>
                              <w:rPr>
                                <w:rFonts w:ascii="Cambria Math" w:hAnsi="Cambria Math" w:cs="Arial"/>
                                <w:color w:val="000000"/>
                                <w:szCs w:val="20"/>
                              </w:rPr>
                              <m:t>jwRbCb+1</m:t>
                            </m:r>
                          </m:den>
                        </m:f>
                      </m:e>
                    </m:d>
                  </m:e>
                  <m:sup>
                    <m:r>
                      <w:rPr>
                        <w:rFonts w:ascii="Cambria Math" w:hAnsi="Cambria Math" w:cs="Arial"/>
                        <w:color w:val="000000"/>
                        <w:szCs w:val="20"/>
                      </w:rPr>
                      <m:t>(1)</m:t>
                    </m:r>
                  </m:sup>
                </m:sSup>
                <m:r>
                  <w:rPr>
                    <w:rFonts w:ascii="Cambria Math" w:hAnsi="Cambria Math" w:cs="Arial"/>
                    <w:color w:val="000000"/>
                    <w:szCs w:val="20"/>
                  </w:rPr>
                  <m:t>M</m:t>
                </m:r>
                <m:r>
                  <m:rPr>
                    <m:sty m:val="p"/>
                  </m:rPr>
                  <w:rPr>
                    <w:rFonts w:ascii="Cambria Math" w:hAnsi="Cambria Math" w:cs="Arial"/>
                    <w:color w:val="000000"/>
                    <w:szCs w:val="20"/>
                  </w:rPr>
                  <m:t>Ω</m:t>
                </m:r>
              </m:oMath>
            </m:oMathPara>
          </w:p>
        </w:tc>
        <w:tc>
          <w:tcPr>
            <w:tcW w:w="718" w:type="dxa"/>
          </w:tcPr>
          <w:p w14:paraId="7A18AE13" w14:textId="77777777" w:rsidR="00F50D39" w:rsidRPr="00FC1AB3" w:rsidRDefault="00F50D39" w:rsidP="0017751D">
            <w:pPr>
              <w:autoSpaceDE w:val="0"/>
              <w:autoSpaceDN w:val="0"/>
              <w:adjustRightInd w:val="0"/>
              <w:jc w:val="center"/>
              <w:rPr>
                <w:rFonts w:cs="Arial"/>
                <w:color w:val="000000"/>
                <w:szCs w:val="20"/>
              </w:rPr>
            </w:pPr>
            <w:r w:rsidRPr="00FC1AB3">
              <w:rPr>
                <w:rFonts w:cs="Arial"/>
                <w:color w:val="000000"/>
                <w:szCs w:val="20"/>
              </w:rPr>
              <w:t>0.999</w:t>
            </w:r>
          </w:p>
        </w:tc>
        <w:tc>
          <w:tcPr>
            <w:tcW w:w="718" w:type="dxa"/>
          </w:tcPr>
          <w:p w14:paraId="1FDB109B" w14:textId="77777777" w:rsidR="00F50D39" w:rsidRPr="00FC1AB3" w:rsidRDefault="00F50D39" w:rsidP="0017751D">
            <w:pPr>
              <w:autoSpaceDE w:val="0"/>
              <w:autoSpaceDN w:val="0"/>
              <w:adjustRightInd w:val="0"/>
              <w:jc w:val="center"/>
              <w:rPr>
                <w:rFonts w:cs="Arial"/>
                <w:color w:val="000000"/>
                <w:szCs w:val="20"/>
              </w:rPr>
            </w:pPr>
            <w:r w:rsidRPr="00FC1AB3">
              <w:rPr>
                <w:rFonts w:cs="Arial"/>
                <w:color w:val="000000"/>
                <w:szCs w:val="20"/>
              </w:rPr>
              <w:t>0.998</w:t>
            </w:r>
          </w:p>
        </w:tc>
        <w:tc>
          <w:tcPr>
            <w:tcW w:w="828" w:type="dxa"/>
          </w:tcPr>
          <w:p w14:paraId="3218CDF8" w14:textId="77777777" w:rsidR="00F50D39" w:rsidRPr="00FC1AB3" w:rsidRDefault="00F50D39" w:rsidP="0017751D">
            <w:pPr>
              <w:autoSpaceDE w:val="0"/>
              <w:autoSpaceDN w:val="0"/>
              <w:adjustRightInd w:val="0"/>
              <w:jc w:val="center"/>
              <w:rPr>
                <w:rFonts w:cs="Arial"/>
                <w:color w:val="000000"/>
                <w:szCs w:val="20"/>
              </w:rPr>
            </w:pPr>
            <w:r w:rsidRPr="00FC1AB3">
              <w:rPr>
                <w:rFonts w:cs="Arial"/>
                <w:color w:val="000000"/>
                <w:szCs w:val="20"/>
              </w:rPr>
              <w:t>0.8467</w:t>
            </w:r>
          </w:p>
        </w:tc>
        <w:tc>
          <w:tcPr>
            <w:tcW w:w="939" w:type="dxa"/>
          </w:tcPr>
          <w:p w14:paraId="7CA27DC1" w14:textId="77777777" w:rsidR="00F50D39" w:rsidRPr="00FC1AB3" w:rsidRDefault="00F50D39" w:rsidP="0017751D">
            <w:pPr>
              <w:autoSpaceDE w:val="0"/>
              <w:autoSpaceDN w:val="0"/>
              <w:adjustRightInd w:val="0"/>
              <w:jc w:val="center"/>
              <w:rPr>
                <w:rFonts w:cs="Arial"/>
                <w:color w:val="000000"/>
                <w:szCs w:val="20"/>
              </w:rPr>
            </w:pPr>
            <w:r w:rsidRPr="00FC1AB3">
              <w:rPr>
                <w:rFonts w:cs="Arial"/>
                <w:color w:val="000000"/>
                <w:szCs w:val="20"/>
              </w:rPr>
              <w:t>0.1571</w:t>
            </w:r>
          </w:p>
        </w:tc>
        <w:tc>
          <w:tcPr>
            <w:tcW w:w="939" w:type="dxa"/>
          </w:tcPr>
          <w:p w14:paraId="00BF4D14" w14:textId="77777777" w:rsidR="00F50D39" w:rsidRPr="00FC1AB3" w:rsidRDefault="00F50D39" w:rsidP="0017751D">
            <w:pPr>
              <w:autoSpaceDE w:val="0"/>
              <w:autoSpaceDN w:val="0"/>
              <w:adjustRightInd w:val="0"/>
              <w:jc w:val="center"/>
              <w:rPr>
                <w:rFonts w:cs="Arial"/>
                <w:color w:val="000000"/>
                <w:szCs w:val="20"/>
              </w:rPr>
            </w:pPr>
            <w:r w:rsidRPr="00FC1AB3">
              <w:rPr>
                <w:rFonts w:cs="Arial"/>
                <w:color w:val="000000"/>
                <w:szCs w:val="20"/>
              </w:rPr>
              <w:t>0.15718</w:t>
            </w:r>
          </w:p>
        </w:tc>
      </w:tr>
      <w:tr w:rsidR="00F50D39" w:rsidRPr="00FC1AB3" w14:paraId="6A19C03B" w14:textId="77777777" w:rsidTr="00F50D39">
        <w:trPr>
          <w:jc w:val="center"/>
        </w:trPr>
        <w:tc>
          <w:tcPr>
            <w:tcW w:w="1926" w:type="dxa"/>
          </w:tcPr>
          <w:p w14:paraId="083BB660" w14:textId="77777777" w:rsidR="00F50D39" w:rsidRPr="00FC1AB3" w:rsidRDefault="00F50D39" w:rsidP="0017751D">
            <w:pPr>
              <w:autoSpaceDE w:val="0"/>
              <w:autoSpaceDN w:val="0"/>
              <w:adjustRightInd w:val="0"/>
              <w:jc w:val="center"/>
              <w:rPr>
                <w:rFonts w:cs="Arial"/>
                <w:color w:val="000000"/>
                <w:szCs w:val="20"/>
              </w:rPr>
            </w:pPr>
            <m:oMathPara>
              <m:oMath>
                <m:sSup>
                  <m:sSupPr>
                    <m:ctrlPr>
                      <w:rPr>
                        <w:rFonts w:ascii="Cambria Math" w:hAnsi="Cambria Math" w:cs="Arial"/>
                        <w:i/>
                        <w:color w:val="000000"/>
                        <w:szCs w:val="20"/>
                      </w:rPr>
                    </m:ctrlPr>
                  </m:sSupPr>
                  <m:e>
                    <m:d>
                      <m:dPr>
                        <m:begChr m:val="|"/>
                        <m:endChr m:val="|"/>
                        <m:ctrlPr>
                          <w:rPr>
                            <w:rFonts w:ascii="Cambria Math" w:hAnsi="Cambria Math" w:cs="Arial"/>
                            <w:i/>
                            <w:color w:val="000000"/>
                            <w:szCs w:val="20"/>
                          </w:rPr>
                        </m:ctrlPr>
                      </m:dPr>
                      <m:e>
                        <m:f>
                          <m:fPr>
                            <m:ctrlPr>
                              <w:rPr>
                                <w:rFonts w:ascii="Cambria Math" w:hAnsi="Cambria Math" w:cs="Arial"/>
                                <w:i/>
                                <w:color w:val="000000"/>
                                <w:szCs w:val="20"/>
                              </w:rPr>
                            </m:ctrlPr>
                          </m:fPr>
                          <m:num>
                            <m:r>
                              <w:rPr>
                                <w:rFonts w:ascii="Cambria Math" w:hAnsi="Cambria Math" w:cs="Arial"/>
                                <w:color w:val="000000"/>
                                <w:szCs w:val="20"/>
                              </w:rPr>
                              <m:t>1</m:t>
                            </m:r>
                          </m:num>
                          <m:den>
                            <m:r>
                              <w:rPr>
                                <w:rFonts w:ascii="Cambria Math" w:hAnsi="Cambria Math" w:cs="Arial"/>
                                <w:color w:val="000000"/>
                                <w:szCs w:val="20"/>
                              </w:rPr>
                              <m:t>jwCs</m:t>
                            </m:r>
                          </m:den>
                        </m:f>
                      </m:e>
                    </m:d>
                  </m:e>
                  <m:sup>
                    <m:r>
                      <w:rPr>
                        <w:rFonts w:ascii="Cambria Math" w:hAnsi="Cambria Math" w:cs="Arial"/>
                        <w:color w:val="000000"/>
                        <w:szCs w:val="20"/>
                      </w:rPr>
                      <m:t>(2)</m:t>
                    </m:r>
                  </m:sup>
                </m:sSup>
                <m:r>
                  <w:rPr>
                    <w:rFonts w:ascii="Cambria Math" w:hAnsi="Cambria Math" w:cs="Arial"/>
                    <w:color w:val="000000"/>
                    <w:szCs w:val="20"/>
                  </w:rPr>
                  <m:t>M</m:t>
                </m:r>
                <m:r>
                  <m:rPr>
                    <m:sty m:val="p"/>
                  </m:rPr>
                  <w:rPr>
                    <w:rFonts w:ascii="Cambria Math" w:hAnsi="Cambria Math" w:cs="Arial"/>
                    <w:color w:val="000000"/>
                    <w:szCs w:val="20"/>
                  </w:rPr>
                  <m:t>Ω</m:t>
                </m:r>
              </m:oMath>
            </m:oMathPara>
          </w:p>
        </w:tc>
        <w:tc>
          <w:tcPr>
            <w:tcW w:w="718" w:type="dxa"/>
          </w:tcPr>
          <w:p w14:paraId="75D02D3B" w14:textId="77777777" w:rsidR="00F50D39" w:rsidRPr="00FC1AB3" w:rsidRDefault="00F50D39" w:rsidP="0017751D">
            <w:pPr>
              <w:autoSpaceDE w:val="0"/>
              <w:autoSpaceDN w:val="0"/>
              <w:adjustRightInd w:val="0"/>
              <w:jc w:val="center"/>
              <w:rPr>
                <w:rFonts w:cs="Arial"/>
                <w:color w:val="000000"/>
                <w:szCs w:val="20"/>
              </w:rPr>
            </w:pPr>
            <w:r>
              <w:rPr>
                <w:rFonts w:cs="Arial"/>
                <w:color w:val="000000"/>
                <w:szCs w:val="20"/>
              </w:rPr>
              <w:t>2</w:t>
            </w:r>
            <w:r w:rsidRPr="00FC1AB3">
              <w:rPr>
                <w:rFonts w:cs="Arial"/>
                <w:color w:val="000000"/>
                <w:szCs w:val="20"/>
              </w:rPr>
              <w:t>5.91</w:t>
            </w:r>
          </w:p>
        </w:tc>
        <w:tc>
          <w:tcPr>
            <w:tcW w:w="718" w:type="dxa"/>
          </w:tcPr>
          <w:p w14:paraId="4E641EA7" w14:textId="77777777" w:rsidR="00F50D39" w:rsidRPr="00FC1AB3" w:rsidRDefault="00F50D39" w:rsidP="0017751D">
            <w:pPr>
              <w:autoSpaceDE w:val="0"/>
              <w:autoSpaceDN w:val="0"/>
              <w:adjustRightInd w:val="0"/>
              <w:jc w:val="center"/>
              <w:rPr>
                <w:rFonts w:cs="Arial"/>
                <w:color w:val="000000"/>
                <w:szCs w:val="20"/>
              </w:rPr>
            </w:pPr>
            <w:r>
              <w:rPr>
                <w:rFonts w:cs="Arial"/>
                <w:color w:val="000000"/>
                <w:szCs w:val="20"/>
              </w:rPr>
              <w:t>2</w:t>
            </w:r>
            <w:r w:rsidRPr="00FC1AB3">
              <w:rPr>
                <w:rFonts w:cs="Arial"/>
                <w:color w:val="000000"/>
                <w:szCs w:val="20"/>
              </w:rPr>
              <w:t>.591</w:t>
            </w:r>
          </w:p>
        </w:tc>
        <w:tc>
          <w:tcPr>
            <w:tcW w:w="828" w:type="dxa"/>
          </w:tcPr>
          <w:p w14:paraId="71F8CDFF" w14:textId="77777777" w:rsidR="00F50D39" w:rsidRPr="00FC1AB3" w:rsidRDefault="00F50D39" w:rsidP="0017751D">
            <w:pPr>
              <w:autoSpaceDE w:val="0"/>
              <w:autoSpaceDN w:val="0"/>
              <w:adjustRightInd w:val="0"/>
              <w:jc w:val="center"/>
              <w:rPr>
                <w:rFonts w:cs="Arial"/>
                <w:color w:val="000000"/>
                <w:szCs w:val="20"/>
              </w:rPr>
            </w:pPr>
            <w:r w:rsidRPr="00FC1AB3">
              <w:rPr>
                <w:rFonts w:cs="Arial"/>
                <w:color w:val="000000"/>
                <w:szCs w:val="20"/>
              </w:rPr>
              <w:t>0.</w:t>
            </w:r>
            <w:r>
              <w:rPr>
                <w:rFonts w:cs="Arial"/>
                <w:color w:val="000000"/>
                <w:szCs w:val="20"/>
              </w:rPr>
              <w:t>2</w:t>
            </w:r>
            <w:r w:rsidRPr="00FC1AB3">
              <w:rPr>
                <w:rFonts w:cs="Arial"/>
                <w:color w:val="000000"/>
                <w:szCs w:val="20"/>
              </w:rPr>
              <w:t>591</w:t>
            </w:r>
          </w:p>
        </w:tc>
        <w:tc>
          <w:tcPr>
            <w:tcW w:w="939" w:type="dxa"/>
          </w:tcPr>
          <w:p w14:paraId="7103ADF7" w14:textId="77777777" w:rsidR="00F50D39" w:rsidRPr="00FC1AB3" w:rsidRDefault="00F50D39" w:rsidP="0017751D">
            <w:pPr>
              <w:autoSpaceDE w:val="0"/>
              <w:autoSpaceDN w:val="0"/>
              <w:adjustRightInd w:val="0"/>
              <w:jc w:val="center"/>
              <w:rPr>
                <w:rFonts w:cs="Arial"/>
                <w:color w:val="000000"/>
                <w:szCs w:val="20"/>
              </w:rPr>
            </w:pPr>
            <w:r w:rsidRPr="00FC1AB3">
              <w:rPr>
                <w:rFonts w:cs="Arial"/>
                <w:color w:val="000000"/>
                <w:szCs w:val="20"/>
              </w:rPr>
              <w:t>0.0</w:t>
            </w:r>
            <w:r>
              <w:rPr>
                <w:rFonts w:cs="Arial"/>
                <w:color w:val="000000"/>
                <w:szCs w:val="20"/>
              </w:rPr>
              <w:t>2</w:t>
            </w:r>
            <w:r w:rsidRPr="00FC1AB3">
              <w:rPr>
                <w:rFonts w:cs="Arial"/>
                <w:color w:val="000000"/>
                <w:szCs w:val="20"/>
              </w:rPr>
              <w:t>591</w:t>
            </w:r>
          </w:p>
        </w:tc>
        <w:tc>
          <w:tcPr>
            <w:tcW w:w="939" w:type="dxa"/>
          </w:tcPr>
          <w:p w14:paraId="3535C029" w14:textId="77777777" w:rsidR="00F50D39" w:rsidRPr="00FC1AB3" w:rsidRDefault="00F50D39" w:rsidP="0017751D">
            <w:pPr>
              <w:autoSpaceDE w:val="0"/>
              <w:autoSpaceDN w:val="0"/>
              <w:adjustRightInd w:val="0"/>
              <w:jc w:val="center"/>
              <w:rPr>
                <w:rFonts w:cs="Arial"/>
                <w:color w:val="000000"/>
                <w:szCs w:val="20"/>
              </w:rPr>
            </w:pPr>
            <w:r w:rsidRPr="00FC1AB3">
              <w:rPr>
                <w:rFonts w:cs="Arial"/>
                <w:color w:val="000000"/>
                <w:szCs w:val="20"/>
              </w:rPr>
              <w:t>0.00</w:t>
            </w:r>
            <w:r>
              <w:rPr>
                <w:rFonts w:cs="Arial"/>
                <w:color w:val="000000"/>
                <w:szCs w:val="20"/>
              </w:rPr>
              <w:t>2</w:t>
            </w:r>
            <w:r w:rsidRPr="00FC1AB3">
              <w:rPr>
                <w:rFonts w:cs="Arial"/>
                <w:color w:val="000000"/>
                <w:szCs w:val="20"/>
              </w:rPr>
              <w:t>59</w:t>
            </w:r>
          </w:p>
        </w:tc>
      </w:tr>
    </w:tbl>
    <w:p w14:paraId="019B0F2C" w14:textId="77777777" w:rsidR="00F50D39" w:rsidRPr="007C2428" w:rsidRDefault="00F50D39" w:rsidP="00F50D39">
      <w:pPr>
        <w:autoSpaceDE w:val="0"/>
        <w:autoSpaceDN w:val="0"/>
        <w:adjustRightInd w:val="0"/>
        <w:spacing w:after="0" w:line="240" w:lineRule="auto"/>
        <w:rPr>
          <w:rFonts w:cs="Arial"/>
          <w:b/>
          <w:color w:val="000000" w:themeColor="text1"/>
          <w:sz w:val="18"/>
          <w:szCs w:val="18"/>
        </w:rPr>
      </w:pPr>
      <w:r w:rsidRPr="007C2428">
        <w:rPr>
          <w:rFonts w:cs="Arial"/>
          <w:b/>
          <w:color w:val="000000" w:themeColor="text1"/>
          <w:sz w:val="18"/>
          <w:szCs w:val="18"/>
        </w:rPr>
        <w:t>Fuente: Elaboración propia (2021).</w:t>
      </w:r>
    </w:p>
    <w:p w14:paraId="7910FC91" w14:textId="019A15D1" w:rsidR="00F50D39" w:rsidRDefault="00F50D39" w:rsidP="00F169AC">
      <w:pPr>
        <w:spacing w:line="240" w:lineRule="auto"/>
        <w:jc w:val="both"/>
        <w:rPr>
          <w:rFonts w:cs="Arial"/>
          <w:b/>
          <w:bCs/>
          <w:sz w:val="24"/>
          <w:szCs w:val="24"/>
        </w:rPr>
      </w:pPr>
    </w:p>
    <w:p w14:paraId="6BAFF53D" w14:textId="52219C5E" w:rsidR="00F50D39" w:rsidRPr="00D65FD7" w:rsidRDefault="00F50D39" w:rsidP="00F50D39">
      <w:pPr>
        <w:pStyle w:val="BodyText"/>
        <w:spacing w:line="240" w:lineRule="auto"/>
        <w:jc w:val="both"/>
        <w:rPr>
          <w:rFonts w:cs="Arial"/>
        </w:rPr>
      </w:pPr>
      <w:r w:rsidRPr="00D65FD7">
        <w:rPr>
          <w:rFonts w:cs="Arial"/>
        </w:rPr>
        <w:t>La señal sEMG que se obtuvo colocando los electrodos en los bíceps del brazo derecho y realizando la secuencia contracción-relajación-contracción, se observa en la figura 2 (a) y su espectro de amplitud en (b)</w:t>
      </w:r>
      <w:r>
        <w:rPr>
          <w:rFonts w:cs="Arial"/>
        </w:rPr>
        <w:t xml:space="preserve"> </w:t>
      </w:r>
      <w:r w:rsidRPr="00D65FD7">
        <w:rPr>
          <w:rFonts w:cs="Arial"/>
        </w:rPr>
        <w:t>información que permite seleccionar la banda de frecuencia entre 80 y 300 Hz. en la realización de los filtros activos (Varela, Rivera, Espina &amp; De la Rosa, 2015).</w:t>
      </w:r>
    </w:p>
    <w:p w14:paraId="4575C45B" w14:textId="6E78AA25" w:rsidR="00F50D39" w:rsidRDefault="00F50D39" w:rsidP="00F50D39">
      <w:pPr>
        <w:pStyle w:val="BodyText"/>
        <w:spacing w:line="240" w:lineRule="auto"/>
        <w:rPr>
          <w:rFonts w:cs="Arial"/>
          <w:color w:val="FF0000"/>
        </w:rPr>
      </w:pPr>
      <w:r w:rsidRPr="001B3AB6">
        <w:rPr>
          <w:rFonts w:eastAsia="Times New Roman" w:cs="Arial"/>
          <w:noProof/>
          <w:sz w:val="24"/>
          <w:szCs w:val="24"/>
          <w:lang w:eastAsia="es-MX"/>
        </w:rPr>
        <w:drawing>
          <wp:anchor distT="0" distB="0" distL="114300" distR="114300" simplePos="0" relativeHeight="251670528" behindDoc="0" locked="0" layoutInCell="1" allowOverlap="1" wp14:anchorId="2F971CB2" wp14:editId="1C6D1EE5">
            <wp:simplePos x="0" y="0"/>
            <wp:positionH relativeFrom="column">
              <wp:posOffset>1344295</wp:posOffset>
            </wp:positionH>
            <wp:positionV relativeFrom="paragraph">
              <wp:posOffset>73660</wp:posOffset>
            </wp:positionV>
            <wp:extent cx="2780665" cy="2875280"/>
            <wp:effectExtent l="38100" t="38100" r="102235" b="96520"/>
            <wp:wrapThrough wrapText="bothSides">
              <wp:wrapPolygon edited="0">
                <wp:start x="-99" y="-286"/>
                <wp:lineTo x="-296" y="-191"/>
                <wp:lineTo x="-296" y="21848"/>
                <wp:lineTo x="-197" y="22230"/>
                <wp:lineTo x="22098" y="22230"/>
                <wp:lineTo x="22296" y="21180"/>
                <wp:lineTo x="22296" y="1336"/>
                <wp:lineTo x="22000" y="-95"/>
                <wp:lineTo x="22000" y="-286"/>
                <wp:lineTo x="-99" y="-286"/>
              </wp:wrapPolygon>
            </wp:wrapThrough>
            <wp:docPr id="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0665" cy="28752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B04E659" w14:textId="70BCADC6" w:rsidR="00F50D39" w:rsidRDefault="00F50D39" w:rsidP="00F50D39">
      <w:pPr>
        <w:pStyle w:val="BodyText"/>
        <w:spacing w:line="240" w:lineRule="auto"/>
        <w:rPr>
          <w:rFonts w:cs="Arial"/>
          <w:color w:val="FF0000"/>
        </w:rPr>
      </w:pPr>
    </w:p>
    <w:p w14:paraId="58601447" w14:textId="052F8489" w:rsidR="00F50D39" w:rsidRPr="00D65FD7" w:rsidRDefault="00F50D39" w:rsidP="00F50D39">
      <w:pPr>
        <w:pStyle w:val="BodyText"/>
        <w:spacing w:line="240" w:lineRule="auto"/>
        <w:rPr>
          <w:rFonts w:cs="Arial"/>
          <w:color w:val="FF0000"/>
        </w:rPr>
      </w:pPr>
    </w:p>
    <w:p w14:paraId="78F6D004" w14:textId="098B0D0D" w:rsidR="00F50D39" w:rsidRPr="001B3AB6" w:rsidRDefault="00F50D39" w:rsidP="00F50D39">
      <w:pPr>
        <w:spacing w:after="0" w:line="240" w:lineRule="auto"/>
        <w:jc w:val="center"/>
        <w:rPr>
          <w:rFonts w:eastAsia="Times New Roman" w:cs="Arial"/>
          <w:sz w:val="24"/>
          <w:szCs w:val="24"/>
          <w:lang w:eastAsia="es-ES"/>
        </w:rPr>
      </w:pPr>
    </w:p>
    <w:p w14:paraId="0F43AB20" w14:textId="77777777" w:rsidR="00F50D39" w:rsidRDefault="00F50D39" w:rsidP="00F169AC">
      <w:pPr>
        <w:spacing w:line="240" w:lineRule="auto"/>
        <w:jc w:val="both"/>
        <w:rPr>
          <w:rFonts w:cs="Arial"/>
          <w:b/>
          <w:bCs/>
          <w:sz w:val="24"/>
          <w:szCs w:val="24"/>
        </w:rPr>
      </w:pPr>
    </w:p>
    <w:p w14:paraId="35206978" w14:textId="77777777" w:rsidR="00F50D39" w:rsidRDefault="00F50D39" w:rsidP="00F169AC">
      <w:pPr>
        <w:spacing w:line="240" w:lineRule="auto"/>
        <w:jc w:val="both"/>
        <w:rPr>
          <w:rFonts w:cs="Arial"/>
          <w:b/>
          <w:bCs/>
          <w:sz w:val="24"/>
          <w:szCs w:val="24"/>
        </w:rPr>
      </w:pPr>
    </w:p>
    <w:p w14:paraId="040BA452" w14:textId="77777777" w:rsidR="00F50D39" w:rsidRDefault="00F50D39" w:rsidP="00F169AC">
      <w:pPr>
        <w:spacing w:line="240" w:lineRule="auto"/>
        <w:jc w:val="both"/>
        <w:rPr>
          <w:rFonts w:cs="Arial"/>
          <w:b/>
          <w:bCs/>
          <w:sz w:val="24"/>
          <w:szCs w:val="24"/>
        </w:rPr>
      </w:pPr>
    </w:p>
    <w:p w14:paraId="4797EA67" w14:textId="77777777" w:rsidR="00F50D39" w:rsidRDefault="00F50D39" w:rsidP="00F169AC">
      <w:pPr>
        <w:spacing w:line="240" w:lineRule="auto"/>
        <w:jc w:val="both"/>
        <w:rPr>
          <w:rFonts w:cs="Arial"/>
          <w:b/>
          <w:bCs/>
          <w:sz w:val="24"/>
          <w:szCs w:val="24"/>
        </w:rPr>
      </w:pPr>
    </w:p>
    <w:p w14:paraId="1DC2B78D" w14:textId="77777777" w:rsidR="00F50D39" w:rsidRDefault="00F50D39" w:rsidP="00F169AC">
      <w:pPr>
        <w:spacing w:line="240" w:lineRule="auto"/>
        <w:jc w:val="both"/>
        <w:rPr>
          <w:rFonts w:cs="Arial"/>
          <w:b/>
          <w:bCs/>
          <w:sz w:val="24"/>
          <w:szCs w:val="24"/>
        </w:rPr>
      </w:pPr>
    </w:p>
    <w:p w14:paraId="289AC183" w14:textId="77777777" w:rsidR="00F50D39" w:rsidRDefault="00F50D39" w:rsidP="00F169AC">
      <w:pPr>
        <w:spacing w:line="240" w:lineRule="auto"/>
        <w:jc w:val="both"/>
        <w:rPr>
          <w:rFonts w:cs="Arial"/>
          <w:b/>
          <w:bCs/>
          <w:sz w:val="24"/>
          <w:szCs w:val="24"/>
        </w:rPr>
      </w:pPr>
    </w:p>
    <w:p w14:paraId="690AE70E" w14:textId="77777777" w:rsidR="00F50D39" w:rsidRDefault="00F50D39" w:rsidP="00F169AC">
      <w:pPr>
        <w:spacing w:line="240" w:lineRule="auto"/>
        <w:jc w:val="both"/>
        <w:rPr>
          <w:rFonts w:cs="Arial"/>
          <w:b/>
          <w:bCs/>
          <w:sz w:val="24"/>
          <w:szCs w:val="24"/>
        </w:rPr>
      </w:pPr>
    </w:p>
    <w:p w14:paraId="079EB386" w14:textId="77777777" w:rsidR="00F50D39" w:rsidRDefault="00F50D39" w:rsidP="00F169AC">
      <w:pPr>
        <w:spacing w:line="240" w:lineRule="auto"/>
        <w:jc w:val="both"/>
        <w:rPr>
          <w:rFonts w:cs="Arial"/>
          <w:b/>
          <w:bCs/>
          <w:sz w:val="24"/>
          <w:szCs w:val="24"/>
        </w:rPr>
      </w:pPr>
    </w:p>
    <w:p w14:paraId="4ACB095D" w14:textId="77777777" w:rsidR="00F50D39" w:rsidRPr="007C2428" w:rsidRDefault="00F50D39" w:rsidP="00F50D39">
      <w:pPr>
        <w:autoSpaceDE w:val="0"/>
        <w:autoSpaceDN w:val="0"/>
        <w:adjustRightInd w:val="0"/>
        <w:spacing w:after="0" w:line="240" w:lineRule="auto"/>
        <w:jc w:val="center"/>
        <w:rPr>
          <w:rFonts w:cs="Arial"/>
          <w:b/>
          <w:color w:val="000000"/>
          <w:sz w:val="18"/>
          <w:szCs w:val="18"/>
        </w:rPr>
      </w:pPr>
      <w:r w:rsidRPr="007C2428">
        <w:rPr>
          <w:rFonts w:cs="Arial"/>
          <w:b/>
          <w:color w:val="000000" w:themeColor="text1"/>
          <w:sz w:val="18"/>
          <w:szCs w:val="18"/>
        </w:rPr>
        <w:t>Figura 2. (</w:t>
      </w:r>
      <w:r w:rsidRPr="007C2428">
        <w:rPr>
          <w:rFonts w:cs="Arial"/>
          <w:b/>
          <w:color w:val="000000"/>
          <w:sz w:val="18"/>
          <w:szCs w:val="18"/>
        </w:rPr>
        <w:t>a) Señal EMG medida en los bíceps del brazo derecho con los electrodos y un ancho de banda de 580 Hz. (b) Espectro de amplitud de la señal mostrada en (a).</w:t>
      </w:r>
    </w:p>
    <w:p w14:paraId="6A331225" w14:textId="77777777" w:rsidR="00F50D39" w:rsidRPr="007C2428" w:rsidRDefault="00F50D39" w:rsidP="00F50D39">
      <w:pPr>
        <w:autoSpaceDE w:val="0"/>
        <w:autoSpaceDN w:val="0"/>
        <w:adjustRightInd w:val="0"/>
        <w:spacing w:after="0" w:line="240" w:lineRule="auto"/>
        <w:rPr>
          <w:rFonts w:cs="Arial"/>
          <w:b/>
          <w:color w:val="000000" w:themeColor="text1"/>
          <w:sz w:val="18"/>
          <w:szCs w:val="18"/>
        </w:rPr>
      </w:pPr>
      <w:r w:rsidRPr="007C2428">
        <w:rPr>
          <w:rFonts w:cs="Arial"/>
          <w:b/>
          <w:color w:val="000000" w:themeColor="text1"/>
          <w:sz w:val="18"/>
          <w:szCs w:val="18"/>
        </w:rPr>
        <w:t>Fuente: Varela, Rivera, Espina &amp; De la Rosa (2015).</w:t>
      </w:r>
    </w:p>
    <w:p w14:paraId="045EFAE0" w14:textId="77777777" w:rsidR="00F50D39" w:rsidRDefault="00F50D39" w:rsidP="00F169AC">
      <w:pPr>
        <w:spacing w:line="240" w:lineRule="auto"/>
        <w:jc w:val="both"/>
        <w:rPr>
          <w:rFonts w:cs="Arial"/>
          <w:b/>
          <w:bCs/>
          <w:sz w:val="24"/>
          <w:szCs w:val="24"/>
        </w:rPr>
      </w:pPr>
    </w:p>
    <w:p w14:paraId="60B3DDE1" w14:textId="77777777" w:rsidR="00F50D39" w:rsidRDefault="00F50D39" w:rsidP="00F50D39">
      <w:pPr>
        <w:spacing w:after="0" w:line="240" w:lineRule="auto"/>
        <w:jc w:val="both"/>
        <w:rPr>
          <w:rFonts w:cs="Arial"/>
          <w:szCs w:val="20"/>
        </w:rPr>
      </w:pPr>
      <w:r>
        <w:rPr>
          <w:rFonts w:cs="Arial"/>
          <w:szCs w:val="20"/>
        </w:rPr>
        <w:t>De acuerdo con lo expuesto, el objetivo del trabajo, es c</w:t>
      </w:r>
      <w:r w:rsidRPr="00613BBE">
        <w:rPr>
          <w:rFonts w:cs="Arial"/>
          <w:szCs w:val="20"/>
        </w:rPr>
        <w:t>onstruir un sistema electrónico analógico activo capaz de medir las señales bioeléctricas de los músculos largos de las extremidades superiores, entregando una señal de voltaje proporcional al esfuerzo muscular.</w:t>
      </w:r>
    </w:p>
    <w:p w14:paraId="154705BD" w14:textId="77777777" w:rsidR="00F50D39" w:rsidRDefault="00F50D39" w:rsidP="00F169AC">
      <w:pPr>
        <w:spacing w:line="240" w:lineRule="auto"/>
        <w:jc w:val="both"/>
        <w:rPr>
          <w:rFonts w:cs="Arial"/>
          <w:b/>
          <w:bCs/>
          <w:sz w:val="24"/>
          <w:szCs w:val="24"/>
        </w:rPr>
      </w:pPr>
    </w:p>
    <w:p w14:paraId="1A156D70" w14:textId="5A6FFCED" w:rsidR="00F169AC" w:rsidRDefault="00F169AC" w:rsidP="00F169AC">
      <w:pPr>
        <w:spacing w:line="240" w:lineRule="auto"/>
        <w:jc w:val="both"/>
        <w:rPr>
          <w:rFonts w:cs="Arial"/>
          <w:b/>
          <w:bCs/>
          <w:sz w:val="24"/>
          <w:szCs w:val="24"/>
        </w:rPr>
      </w:pPr>
      <w:r>
        <w:rPr>
          <w:rFonts w:cs="Arial"/>
          <w:b/>
          <w:bCs/>
          <w:sz w:val="24"/>
          <w:szCs w:val="24"/>
        </w:rPr>
        <w:t xml:space="preserve">JUSTIFICACIÓN </w:t>
      </w:r>
    </w:p>
    <w:p w14:paraId="1D79C6DC" w14:textId="77777777" w:rsidR="00F50D39" w:rsidRDefault="00F50D39" w:rsidP="00F50D39">
      <w:pPr>
        <w:spacing w:after="0" w:line="240" w:lineRule="auto"/>
        <w:jc w:val="both"/>
        <w:rPr>
          <w:rFonts w:cs="Arial"/>
          <w:szCs w:val="20"/>
        </w:rPr>
      </w:pPr>
      <w:r>
        <w:rPr>
          <w:rFonts w:cs="Arial"/>
          <w:szCs w:val="20"/>
        </w:rPr>
        <w:t xml:space="preserve">En la evaluación de riesgos en trabajos repetitivos con herramientas de golpe, se observa un desgaste de los músculos del brazo y antebrazo, lo que conlleva a la debilitación del agarre de la herramienta y posibles accidentes de trabajo. Con esta tarjeta de acondicionamiento de señales, se pretende realizar estudios del desgaste de los músculos al trabajar con martillo, marros, entre otros, para encontrar los tiempos de trabajo y descanso óptimos y evitar lesiones.  </w:t>
      </w:r>
    </w:p>
    <w:p w14:paraId="63CEAF93" w14:textId="77777777" w:rsidR="00F50D39" w:rsidRDefault="00F50D39" w:rsidP="00F50D39">
      <w:pPr>
        <w:spacing w:after="0" w:line="240" w:lineRule="auto"/>
        <w:jc w:val="both"/>
        <w:rPr>
          <w:rFonts w:cs="Arial"/>
          <w:szCs w:val="20"/>
        </w:rPr>
      </w:pPr>
    </w:p>
    <w:p w14:paraId="0B328973" w14:textId="77777777" w:rsidR="00F50D39" w:rsidRDefault="00F50D39" w:rsidP="00F50D39">
      <w:pPr>
        <w:spacing w:after="0" w:line="240" w:lineRule="auto"/>
        <w:jc w:val="both"/>
        <w:rPr>
          <w:rFonts w:cs="Arial"/>
          <w:szCs w:val="20"/>
        </w:rPr>
      </w:pPr>
      <w:r w:rsidRPr="00A82308">
        <w:rPr>
          <w:rFonts w:cs="Arial"/>
          <w:szCs w:val="20"/>
        </w:rPr>
        <w:t xml:space="preserve">La Organización Mundial de la Salud </w:t>
      </w:r>
      <w:r>
        <w:rPr>
          <w:rFonts w:cs="Arial"/>
          <w:szCs w:val="20"/>
        </w:rPr>
        <w:t>(</w:t>
      </w:r>
      <w:r w:rsidRPr="00A82308">
        <w:rPr>
          <w:rFonts w:cs="Arial"/>
          <w:szCs w:val="20"/>
        </w:rPr>
        <w:t>OMS</w:t>
      </w:r>
      <w:r>
        <w:rPr>
          <w:rFonts w:cs="Arial"/>
          <w:szCs w:val="20"/>
        </w:rPr>
        <w:t>)</w:t>
      </w:r>
      <w:r w:rsidRPr="00A82308">
        <w:rPr>
          <w:rFonts w:cs="Arial"/>
          <w:szCs w:val="20"/>
        </w:rPr>
        <w:t>, cuenta con diversos planes de acción, entre ellos el Plan de Acción Internacional sobre la Salud de los Trabajadores el cual promueve a las naciones</w:t>
      </w:r>
      <w:r>
        <w:rPr>
          <w:rFonts w:cs="Arial"/>
          <w:szCs w:val="20"/>
        </w:rPr>
        <w:t xml:space="preserve"> l</w:t>
      </w:r>
      <w:r w:rsidRPr="00A82308">
        <w:rPr>
          <w:rFonts w:cs="Arial"/>
          <w:szCs w:val="20"/>
        </w:rPr>
        <w:t xml:space="preserve">a identificación y evaluación de riesgos laborales en las empresas de metalmecánica, es de suma importancia por la necesidad de tomar medidas que permita prevenir incidentes laborales según requerimientos de las normas de seguridad industrial. En México se tiene 3 849 casos de riesgo físico de acuerdo con la Coordinación de Salud en el Trabajo (CST, 2021). Es así como se justifica </w:t>
      </w:r>
      <w:r>
        <w:rPr>
          <w:rFonts w:cs="Arial"/>
          <w:szCs w:val="20"/>
        </w:rPr>
        <w:t>l</w:t>
      </w:r>
      <w:r w:rsidRPr="00A82308">
        <w:rPr>
          <w:rFonts w:cs="Arial"/>
          <w:szCs w:val="20"/>
        </w:rPr>
        <w:t xml:space="preserve">a importancia para el desarrollo de la tarjeta para las mediciones a través de señales bioeléctricas de los músculos del brazo y antebrazo al hacer uso de herramientas de golpe de forma repetitiva. Logrando beneficiar a los trabajadores y empresarios, en la preservación la de la integridad física de los operadores al </w:t>
      </w:r>
      <w:r>
        <w:rPr>
          <w:rFonts w:cs="Arial"/>
          <w:szCs w:val="20"/>
        </w:rPr>
        <w:t>realizar un estudio</w:t>
      </w:r>
      <w:r w:rsidRPr="00A82308">
        <w:rPr>
          <w:rFonts w:cs="Arial"/>
          <w:szCs w:val="20"/>
        </w:rPr>
        <w:t xml:space="preserve"> </w:t>
      </w:r>
      <w:r>
        <w:rPr>
          <w:rFonts w:cs="Arial"/>
          <w:szCs w:val="20"/>
        </w:rPr>
        <w:t>de evaluación de riesgos para</w:t>
      </w:r>
      <w:r w:rsidRPr="00A82308">
        <w:rPr>
          <w:rFonts w:cs="Arial"/>
          <w:szCs w:val="20"/>
        </w:rPr>
        <w:t xml:space="preserve"> prevenir lesiones</w:t>
      </w:r>
      <w:r>
        <w:rPr>
          <w:rFonts w:cs="Arial"/>
          <w:szCs w:val="20"/>
        </w:rPr>
        <w:t xml:space="preserve"> y </w:t>
      </w:r>
      <w:r w:rsidRPr="00A82308">
        <w:rPr>
          <w:rFonts w:cs="Arial"/>
          <w:szCs w:val="20"/>
        </w:rPr>
        <w:t>reducir el impacto económico que se tiene con el pago de incapacidades y ausencia de los trabajadores.</w:t>
      </w:r>
      <w:r w:rsidRPr="005775B8">
        <w:rPr>
          <w:rFonts w:cs="Arial"/>
          <w:szCs w:val="20"/>
        </w:rPr>
        <w:t xml:space="preserve"> </w:t>
      </w:r>
    </w:p>
    <w:p w14:paraId="5765A7E7" w14:textId="77777777" w:rsidR="004343B2" w:rsidRDefault="004343B2" w:rsidP="00F169AC">
      <w:pPr>
        <w:spacing w:line="240" w:lineRule="auto"/>
        <w:jc w:val="both"/>
        <w:rPr>
          <w:rFonts w:cs="Arial"/>
          <w:b/>
          <w:bCs/>
          <w:sz w:val="24"/>
          <w:szCs w:val="24"/>
        </w:rPr>
      </w:pPr>
    </w:p>
    <w:p w14:paraId="4876FA71" w14:textId="249731FE" w:rsidR="00F169AC" w:rsidRPr="00D307C1" w:rsidRDefault="00F169AC" w:rsidP="00F169AC">
      <w:pPr>
        <w:spacing w:line="240" w:lineRule="auto"/>
        <w:jc w:val="both"/>
        <w:rPr>
          <w:rFonts w:cs="Arial"/>
          <w:b/>
          <w:bCs/>
          <w:sz w:val="24"/>
          <w:szCs w:val="24"/>
        </w:rPr>
      </w:pPr>
      <w:r>
        <w:rPr>
          <w:rFonts w:cs="Arial"/>
          <w:b/>
          <w:bCs/>
          <w:sz w:val="24"/>
          <w:szCs w:val="24"/>
        </w:rPr>
        <w:t xml:space="preserve">METODOLOGÍA </w:t>
      </w:r>
    </w:p>
    <w:p w14:paraId="5251A8CE" w14:textId="77777777" w:rsidR="00F50D39" w:rsidRDefault="00F50D39" w:rsidP="00F50D39">
      <w:pPr>
        <w:spacing w:after="0" w:line="240" w:lineRule="auto"/>
        <w:jc w:val="both"/>
        <w:rPr>
          <w:rFonts w:cs="Arial"/>
          <w:szCs w:val="20"/>
        </w:rPr>
      </w:pPr>
      <w:r w:rsidRPr="00E04D40">
        <w:rPr>
          <w:rFonts w:cs="Arial"/>
          <w:szCs w:val="20"/>
        </w:rPr>
        <w:t>La hipótesis de la investigación es que la tarjeta es capaz de medir la intensidad de contracción de los músculos</w:t>
      </w:r>
      <w:r>
        <w:rPr>
          <w:rFonts w:cs="Arial"/>
          <w:szCs w:val="20"/>
        </w:rPr>
        <w:t xml:space="preserve"> de las extremidades superiores.</w:t>
      </w:r>
    </w:p>
    <w:p w14:paraId="0B0B79F0" w14:textId="75E7701C" w:rsidR="00F50D39" w:rsidRDefault="00F50D39" w:rsidP="00F50D39">
      <w:pPr>
        <w:spacing w:line="240" w:lineRule="auto"/>
        <w:jc w:val="both"/>
        <w:rPr>
          <w:rFonts w:cs="Arial"/>
          <w:szCs w:val="20"/>
        </w:rPr>
      </w:pPr>
      <w:r>
        <w:rPr>
          <w:rFonts w:cs="Arial"/>
          <w:szCs w:val="20"/>
        </w:rPr>
        <w:t>Este proyecto pasa por diferentes etapas en donde cada una contribuye a alcanzar el objetivo, como se describe en la figura 3.</w:t>
      </w:r>
    </w:p>
    <w:p w14:paraId="4AC4D556" w14:textId="5054BB70" w:rsidR="00F50D39" w:rsidRDefault="00F50D39" w:rsidP="00F50D39">
      <w:pPr>
        <w:spacing w:line="240" w:lineRule="auto"/>
        <w:jc w:val="both"/>
        <w:rPr>
          <w:rFonts w:cs="Arial"/>
          <w:szCs w:val="20"/>
        </w:rPr>
      </w:pPr>
      <w:r w:rsidRPr="004B3012">
        <w:rPr>
          <w:rFonts w:cs="Arial"/>
          <w:noProof/>
          <w:szCs w:val="20"/>
        </w:rPr>
        <w:drawing>
          <wp:inline distT="0" distB="0" distL="0" distR="0" wp14:anchorId="5DA7A72E" wp14:editId="03C57458">
            <wp:extent cx="5486400" cy="977900"/>
            <wp:effectExtent l="0" t="0" r="1270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BDF190F" w14:textId="77777777" w:rsidR="00F50D39" w:rsidRPr="007C2428" w:rsidRDefault="00F50D39" w:rsidP="00F50D39">
      <w:pPr>
        <w:autoSpaceDE w:val="0"/>
        <w:autoSpaceDN w:val="0"/>
        <w:adjustRightInd w:val="0"/>
        <w:spacing w:after="0" w:line="240" w:lineRule="auto"/>
        <w:jc w:val="center"/>
        <w:rPr>
          <w:rFonts w:cs="Arial"/>
          <w:b/>
          <w:color w:val="000000"/>
          <w:sz w:val="18"/>
          <w:szCs w:val="18"/>
        </w:rPr>
      </w:pPr>
      <w:r w:rsidRPr="007C2428">
        <w:rPr>
          <w:rFonts w:cs="Arial"/>
          <w:b/>
          <w:color w:val="000000" w:themeColor="text1"/>
          <w:sz w:val="18"/>
          <w:szCs w:val="18"/>
        </w:rPr>
        <w:t xml:space="preserve">Figura </w:t>
      </w:r>
      <w:r>
        <w:rPr>
          <w:rFonts w:cs="Arial"/>
          <w:b/>
          <w:color w:val="000000" w:themeColor="text1"/>
          <w:sz w:val="18"/>
          <w:szCs w:val="18"/>
        </w:rPr>
        <w:t>3</w:t>
      </w:r>
      <w:r w:rsidRPr="007C2428">
        <w:rPr>
          <w:rFonts w:cs="Arial"/>
          <w:b/>
          <w:color w:val="000000" w:themeColor="text1"/>
          <w:sz w:val="18"/>
          <w:szCs w:val="18"/>
        </w:rPr>
        <w:t xml:space="preserve">. </w:t>
      </w:r>
      <w:r>
        <w:rPr>
          <w:rFonts w:cs="Arial"/>
          <w:b/>
          <w:color w:val="000000" w:themeColor="text1"/>
          <w:sz w:val="18"/>
          <w:szCs w:val="18"/>
        </w:rPr>
        <w:t xml:space="preserve">Metodología del proyecto </w:t>
      </w:r>
      <w:r w:rsidRPr="007C6C36">
        <w:rPr>
          <w:rFonts w:cs="Arial"/>
          <w:b/>
          <w:color w:val="000000" w:themeColor="text1"/>
          <w:sz w:val="18"/>
          <w:szCs w:val="18"/>
        </w:rPr>
        <w:t>acondicionamiento de señal para biopotenciales superficiales miográficos largos con electrodos superficiales secos.</w:t>
      </w:r>
      <w:r>
        <w:rPr>
          <w:rFonts w:cs="Arial"/>
          <w:b/>
          <w:color w:val="000000" w:themeColor="text1"/>
          <w:sz w:val="18"/>
          <w:szCs w:val="18"/>
        </w:rPr>
        <w:t xml:space="preserve"> </w:t>
      </w:r>
    </w:p>
    <w:p w14:paraId="18D14991" w14:textId="77777777" w:rsidR="00F50D39" w:rsidRPr="007C2428" w:rsidRDefault="00F50D39" w:rsidP="00F50D39">
      <w:pPr>
        <w:autoSpaceDE w:val="0"/>
        <w:autoSpaceDN w:val="0"/>
        <w:adjustRightInd w:val="0"/>
        <w:spacing w:after="0" w:line="240" w:lineRule="auto"/>
        <w:rPr>
          <w:rFonts w:cs="Arial"/>
          <w:b/>
          <w:color w:val="000000" w:themeColor="text1"/>
          <w:sz w:val="18"/>
          <w:szCs w:val="18"/>
        </w:rPr>
      </w:pPr>
      <w:r w:rsidRPr="007C2428">
        <w:rPr>
          <w:rFonts w:cs="Arial"/>
          <w:b/>
          <w:color w:val="000000" w:themeColor="text1"/>
          <w:sz w:val="18"/>
          <w:szCs w:val="18"/>
        </w:rPr>
        <w:t xml:space="preserve">Fuente: </w:t>
      </w:r>
      <w:r>
        <w:rPr>
          <w:rFonts w:cs="Arial"/>
          <w:b/>
          <w:color w:val="000000" w:themeColor="text1"/>
          <w:sz w:val="18"/>
          <w:szCs w:val="18"/>
        </w:rPr>
        <w:t>Elaboración propia</w:t>
      </w:r>
      <w:r w:rsidRPr="007C2428">
        <w:rPr>
          <w:rFonts w:cs="Arial"/>
          <w:b/>
          <w:color w:val="000000" w:themeColor="text1"/>
          <w:sz w:val="18"/>
          <w:szCs w:val="18"/>
        </w:rPr>
        <w:t xml:space="preserve"> (20</w:t>
      </w:r>
      <w:r>
        <w:rPr>
          <w:rFonts w:cs="Arial"/>
          <w:b/>
          <w:color w:val="000000" w:themeColor="text1"/>
          <w:sz w:val="18"/>
          <w:szCs w:val="18"/>
        </w:rPr>
        <w:t>23</w:t>
      </w:r>
      <w:r w:rsidRPr="007C2428">
        <w:rPr>
          <w:rFonts w:cs="Arial"/>
          <w:b/>
          <w:color w:val="000000" w:themeColor="text1"/>
          <w:sz w:val="18"/>
          <w:szCs w:val="18"/>
        </w:rPr>
        <w:t>).</w:t>
      </w:r>
    </w:p>
    <w:p w14:paraId="2FFFEF7B" w14:textId="77777777" w:rsidR="00F50D39" w:rsidRPr="004B3012" w:rsidRDefault="00F50D39" w:rsidP="00F50D39">
      <w:pPr>
        <w:spacing w:after="0" w:line="240" w:lineRule="auto"/>
        <w:jc w:val="both"/>
        <w:rPr>
          <w:rFonts w:cs="Arial"/>
          <w:szCs w:val="20"/>
        </w:rPr>
      </w:pPr>
    </w:p>
    <w:p w14:paraId="0893172E" w14:textId="77777777" w:rsidR="00F50D39" w:rsidRPr="00A82308" w:rsidRDefault="00F50D39" w:rsidP="00F50D39">
      <w:pPr>
        <w:spacing w:after="0" w:line="240" w:lineRule="auto"/>
        <w:ind w:left="66"/>
        <w:jc w:val="both"/>
        <w:rPr>
          <w:rFonts w:cs="Arial"/>
          <w:b/>
          <w:bCs/>
          <w:color w:val="0070C0"/>
          <w:szCs w:val="20"/>
        </w:rPr>
      </w:pPr>
    </w:p>
    <w:p w14:paraId="0DECFCDB" w14:textId="77777777" w:rsidR="00F50D39" w:rsidRPr="009558D1" w:rsidRDefault="00F50D39" w:rsidP="00F50D39">
      <w:pPr>
        <w:spacing w:after="0" w:line="240" w:lineRule="auto"/>
        <w:rPr>
          <w:rFonts w:cs="Arial"/>
          <w:b/>
          <w:bCs/>
          <w:color w:val="0070C0"/>
          <w:sz w:val="24"/>
          <w:szCs w:val="24"/>
        </w:rPr>
      </w:pPr>
      <w:r w:rsidRPr="009558D1">
        <w:rPr>
          <w:rFonts w:cs="Arial"/>
          <w:b/>
          <w:bCs/>
          <w:color w:val="000000" w:themeColor="text1"/>
          <w:sz w:val="24"/>
          <w:szCs w:val="24"/>
        </w:rPr>
        <w:t>ANÁLISIS DEL PREAMPLIFICADOR PARA BIOPOTENCIALES.</w:t>
      </w:r>
    </w:p>
    <w:p w14:paraId="57AD196D" w14:textId="77777777" w:rsidR="00F50D39" w:rsidRPr="00390179" w:rsidRDefault="00F50D39" w:rsidP="00F50D39">
      <w:pPr>
        <w:autoSpaceDE w:val="0"/>
        <w:autoSpaceDN w:val="0"/>
        <w:adjustRightInd w:val="0"/>
        <w:spacing w:after="0" w:line="240" w:lineRule="auto"/>
        <w:jc w:val="both"/>
        <w:rPr>
          <w:rFonts w:cs="Arial"/>
          <w:color w:val="000000"/>
          <w:szCs w:val="20"/>
        </w:rPr>
      </w:pPr>
    </w:p>
    <w:p w14:paraId="26B54975" w14:textId="77777777" w:rsidR="00F50D39" w:rsidRPr="00390179" w:rsidRDefault="00F50D39" w:rsidP="00F50D39">
      <w:pPr>
        <w:autoSpaceDE w:val="0"/>
        <w:autoSpaceDN w:val="0"/>
        <w:adjustRightInd w:val="0"/>
        <w:spacing w:after="0" w:line="240" w:lineRule="auto"/>
        <w:jc w:val="both"/>
        <w:rPr>
          <w:rFonts w:cs="Arial"/>
          <w:szCs w:val="20"/>
        </w:rPr>
      </w:pPr>
      <w:r w:rsidRPr="00390179">
        <w:rPr>
          <w:rFonts w:cs="Arial"/>
          <w:color w:val="000000"/>
          <w:szCs w:val="20"/>
        </w:rPr>
        <w:t>La señal generada por una unidad motora tiene una amplitud de 0 volt (en reposo, es decir, cuando no existe contracción muscular) y 250 µV durante la contracción. Debido a que las señales mioeléctricas son de bajo valor</w:t>
      </w:r>
      <w:r>
        <w:rPr>
          <w:rFonts w:cs="Arial"/>
          <w:color w:val="000000"/>
          <w:szCs w:val="20"/>
        </w:rPr>
        <w:t>;</w:t>
      </w:r>
      <w:r w:rsidRPr="00390179">
        <w:rPr>
          <w:rFonts w:cs="Arial"/>
          <w:color w:val="000000"/>
          <w:szCs w:val="20"/>
        </w:rPr>
        <w:t xml:space="preserve"> ruidos o artefactos como el ruido ambiental</w:t>
      </w:r>
      <w:r>
        <w:rPr>
          <w:rFonts w:cs="Arial"/>
          <w:color w:val="000000"/>
          <w:szCs w:val="20"/>
        </w:rPr>
        <w:t xml:space="preserve"> </w:t>
      </w:r>
      <w:r w:rsidRPr="00390179">
        <w:rPr>
          <w:rFonts w:cs="Arial"/>
          <w:color w:val="000000"/>
          <w:szCs w:val="20"/>
        </w:rPr>
        <w:t>o en mayor medida el ruido de línea (50Hz – 60Hz), pueden provocar una falsa interpretación de los resultados.</w:t>
      </w:r>
    </w:p>
    <w:p w14:paraId="13CFE5B3" w14:textId="77777777" w:rsidR="00F50D39" w:rsidRPr="00390179" w:rsidRDefault="00F50D39" w:rsidP="00F50D39">
      <w:pPr>
        <w:autoSpaceDE w:val="0"/>
        <w:autoSpaceDN w:val="0"/>
        <w:adjustRightInd w:val="0"/>
        <w:spacing w:after="0" w:line="240" w:lineRule="auto"/>
        <w:jc w:val="both"/>
        <w:rPr>
          <w:rFonts w:cs="Arial"/>
          <w:szCs w:val="20"/>
        </w:rPr>
      </w:pPr>
    </w:p>
    <w:p w14:paraId="29ABAF7D" w14:textId="77777777" w:rsidR="00F50D39" w:rsidRPr="00390179" w:rsidRDefault="00F50D39" w:rsidP="00F50D39">
      <w:pPr>
        <w:autoSpaceDE w:val="0"/>
        <w:autoSpaceDN w:val="0"/>
        <w:adjustRightInd w:val="0"/>
        <w:spacing w:after="0" w:line="240" w:lineRule="auto"/>
        <w:jc w:val="both"/>
        <w:rPr>
          <w:rFonts w:cs="Arial"/>
          <w:szCs w:val="20"/>
        </w:rPr>
      </w:pPr>
      <w:r w:rsidRPr="00390179">
        <w:rPr>
          <w:rFonts w:cs="Arial"/>
          <w:szCs w:val="20"/>
        </w:rPr>
        <w:lastRenderedPageBreak/>
        <w:t xml:space="preserve">Tomando en cuenta el origen del ruido, debemos utilizar un amplificador de instrumentación con alto factor de rechazo en modo común (CMRR), para tener una alta resistencia de entrada y obtener una muy buena relación señal-ruido a la salida del amplificador; la </w:t>
      </w:r>
      <w:r w:rsidRPr="00390179">
        <w:rPr>
          <w:rFonts w:cs="Arial"/>
          <w:iCs/>
          <w:szCs w:val="20"/>
        </w:rPr>
        <w:t>resistencia</w:t>
      </w:r>
      <w:r w:rsidRPr="00390179">
        <w:rPr>
          <w:rFonts w:cs="Arial"/>
          <w:i/>
          <w:iCs/>
          <w:szCs w:val="20"/>
        </w:rPr>
        <w:t xml:space="preserve"> </w:t>
      </w:r>
      <w:r w:rsidRPr="00390179">
        <w:rPr>
          <w:rFonts w:cs="Arial"/>
          <w:szCs w:val="20"/>
        </w:rPr>
        <w:t>de este</w:t>
      </w:r>
      <w:r>
        <w:rPr>
          <w:rFonts w:cs="Arial"/>
          <w:szCs w:val="20"/>
        </w:rPr>
        <w:t>,</w:t>
      </w:r>
      <w:r w:rsidRPr="00390179">
        <w:rPr>
          <w:rFonts w:cs="Arial"/>
          <w:szCs w:val="20"/>
        </w:rPr>
        <w:t xml:space="preserve"> debe ser igual a la magnitud de la impedancia del sensor. Con esta condición, el amplificador contribuye con la menor cantidad de ruido equivalente a la entrada de este.</w:t>
      </w:r>
    </w:p>
    <w:p w14:paraId="3A780F60" w14:textId="77777777" w:rsidR="00F50D39" w:rsidRPr="001B3AB6" w:rsidRDefault="00F50D39" w:rsidP="00F50D39">
      <w:pPr>
        <w:autoSpaceDE w:val="0"/>
        <w:autoSpaceDN w:val="0"/>
        <w:adjustRightInd w:val="0"/>
        <w:spacing w:after="0" w:line="240" w:lineRule="auto"/>
        <w:jc w:val="both"/>
        <w:rPr>
          <w:rFonts w:cs="Arial"/>
          <w:sz w:val="24"/>
          <w:szCs w:val="24"/>
        </w:rPr>
      </w:pPr>
    </w:p>
    <w:p w14:paraId="2AF29BDC" w14:textId="77777777" w:rsidR="00F50D39" w:rsidRPr="00390179" w:rsidRDefault="00F50D39" w:rsidP="00F50D39">
      <w:pPr>
        <w:autoSpaceDE w:val="0"/>
        <w:autoSpaceDN w:val="0"/>
        <w:adjustRightInd w:val="0"/>
        <w:spacing w:after="0" w:line="240" w:lineRule="auto"/>
        <w:jc w:val="both"/>
        <w:rPr>
          <w:rFonts w:cs="Arial"/>
          <w:szCs w:val="20"/>
        </w:rPr>
      </w:pPr>
      <w:r w:rsidRPr="00390179">
        <w:rPr>
          <w:rFonts w:cs="Arial"/>
          <w:szCs w:val="20"/>
        </w:rPr>
        <w:t>La resistencia</w:t>
      </w:r>
      <w:r w:rsidRPr="00390179">
        <w:rPr>
          <w:rFonts w:cs="Arial"/>
          <w:i/>
          <w:iCs/>
          <w:szCs w:val="20"/>
        </w:rPr>
        <w:t xml:space="preserve"> </w:t>
      </w:r>
      <w:r w:rsidRPr="00390179">
        <w:rPr>
          <w:rFonts w:cs="Arial"/>
          <w:szCs w:val="20"/>
        </w:rPr>
        <w:t>de un amplificador (Ro) se obtiene dividiendo la densidad de voltaje de ruido entre la densidad de corriente de ruido a la entrada del amplificador (Motchenbacher &amp; Connelly 1993):</w:t>
      </w:r>
    </w:p>
    <w:p w14:paraId="3852136D" w14:textId="77777777" w:rsidR="00F50D39" w:rsidRPr="001B3AB6" w:rsidRDefault="00F50D39" w:rsidP="00F50D39">
      <w:pPr>
        <w:autoSpaceDE w:val="0"/>
        <w:autoSpaceDN w:val="0"/>
        <w:adjustRightInd w:val="0"/>
        <w:spacing w:after="0" w:line="240" w:lineRule="auto"/>
        <w:jc w:val="both"/>
        <w:rPr>
          <w:rFonts w:cs="Arial"/>
          <w:sz w:val="24"/>
          <w:szCs w:val="24"/>
        </w:rPr>
      </w:pPr>
      <m:oMathPara>
        <m:oMathParaPr>
          <m:jc m:val="center"/>
        </m:oMathParaPr>
        <m:oMath>
          <m:r>
            <w:rPr>
              <w:rFonts w:ascii="Cambria Math" w:eastAsiaTheme="minorEastAsia" w:hAnsi="Cambria Math" w:cs="Arial"/>
              <w:szCs w:val="20"/>
            </w:rPr>
            <m:t>Ro=</m:t>
          </m:r>
          <m:f>
            <m:fPr>
              <m:ctrlPr>
                <w:rPr>
                  <w:rFonts w:ascii="Cambria Math" w:eastAsiaTheme="minorEastAsia" w:hAnsi="Cambria Math" w:cs="Arial"/>
                  <w:i/>
                  <w:iCs/>
                  <w:szCs w:val="20"/>
                </w:rPr>
              </m:ctrlPr>
            </m:fPr>
            <m:num>
              <m:sSub>
                <m:sSubPr>
                  <m:ctrlPr>
                    <w:rPr>
                      <w:rFonts w:ascii="Cambria Math" w:hAnsi="Cambria Math" w:cs="Arial"/>
                      <w:iCs/>
                      <w:szCs w:val="20"/>
                    </w:rPr>
                  </m:ctrlPr>
                </m:sSubPr>
                <m:e>
                  <m:r>
                    <m:rPr>
                      <m:sty m:val="p"/>
                    </m:rPr>
                    <w:rPr>
                      <w:rFonts w:ascii="Cambria Math" w:hAnsi="Cambria Math" w:cs="Arial"/>
                      <w:szCs w:val="20"/>
                    </w:rPr>
                    <m:t>E</m:t>
                  </m:r>
                </m:e>
                <m:sub>
                  <m:r>
                    <w:rPr>
                      <w:rFonts w:ascii="Cambria Math" w:hAnsi="Cambria Math" w:cs="Arial"/>
                      <w:szCs w:val="20"/>
                    </w:rPr>
                    <m:t>n</m:t>
                  </m:r>
                </m:sub>
              </m:sSub>
            </m:num>
            <m:den>
              <m:sSub>
                <m:sSubPr>
                  <m:ctrlPr>
                    <w:rPr>
                      <w:rFonts w:ascii="Cambria Math" w:eastAsiaTheme="minorEastAsia" w:hAnsi="Cambria Math" w:cs="Arial"/>
                      <w:iCs/>
                      <w:szCs w:val="20"/>
                    </w:rPr>
                  </m:ctrlPr>
                </m:sSubPr>
                <m:e>
                  <m:r>
                    <m:rPr>
                      <m:sty m:val="p"/>
                    </m:rPr>
                    <w:rPr>
                      <w:rFonts w:ascii="Cambria Math" w:eastAsiaTheme="minorEastAsia" w:hAnsi="Cambria Math" w:cs="Arial"/>
                      <w:szCs w:val="20"/>
                    </w:rPr>
                    <m:t>I</m:t>
                  </m:r>
                </m:e>
                <m:sub>
                  <m:r>
                    <w:rPr>
                      <w:rFonts w:ascii="Cambria Math" w:eastAsiaTheme="minorEastAsia" w:hAnsi="Cambria Math" w:cs="Arial"/>
                      <w:szCs w:val="20"/>
                    </w:rPr>
                    <m:t>n</m:t>
                  </m:r>
                </m:sub>
              </m:sSub>
            </m:den>
          </m:f>
        </m:oMath>
      </m:oMathPara>
    </w:p>
    <w:p w14:paraId="3FC00188" w14:textId="77777777" w:rsidR="00F50D39" w:rsidRPr="00390179" w:rsidRDefault="00F50D39" w:rsidP="00F50D39">
      <w:pPr>
        <w:autoSpaceDE w:val="0"/>
        <w:autoSpaceDN w:val="0"/>
        <w:adjustRightInd w:val="0"/>
        <w:spacing w:after="0" w:line="240" w:lineRule="auto"/>
        <w:jc w:val="both"/>
        <w:rPr>
          <w:rFonts w:eastAsiaTheme="minorEastAsia" w:cs="Arial"/>
          <w:iCs/>
          <w:szCs w:val="20"/>
        </w:rPr>
      </w:pPr>
      <w:r w:rsidRPr="00390179">
        <w:rPr>
          <w:rFonts w:cs="Arial"/>
          <w:iCs/>
          <w:szCs w:val="20"/>
        </w:rPr>
        <w:t>Para el amplificador de instrumentación</w:t>
      </w:r>
      <w:r>
        <w:rPr>
          <w:rFonts w:cs="Arial"/>
          <w:iCs/>
          <w:szCs w:val="20"/>
        </w:rPr>
        <w:t>,</w:t>
      </w:r>
      <w:r w:rsidRPr="00390179">
        <w:rPr>
          <w:rFonts w:cs="Arial"/>
          <w:iCs/>
          <w:szCs w:val="20"/>
        </w:rPr>
        <w:t xml:space="preserve"> INA129</w:t>
      </w:r>
      <w:r>
        <w:rPr>
          <w:rFonts w:cs="Arial"/>
          <w:iCs/>
          <w:szCs w:val="20"/>
        </w:rPr>
        <w:t>,</w:t>
      </w:r>
      <w:r w:rsidRPr="00390179">
        <w:rPr>
          <w:rFonts w:cs="Arial"/>
          <w:iCs/>
          <w:szCs w:val="20"/>
        </w:rPr>
        <w:t xml:space="preserve"> su ruido de voltaje es 8 nV/</w:t>
      </w:r>
      <m:oMath>
        <m:rad>
          <m:radPr>
            <m:degHide m:val="1"/>
            <m:ctrlPr>
              <w:rPr>
                <w:rFonts w:ascii="Cambria Math" w:hAnsi="Cambria Math" w:cs="Arial"/>
                <w:i/>
                <w:iCs/>
                <w:szCs w:val="20"/>
              </w:rPr>
            </m:ctrlPr>
          </m:radPr>
          <m:deg/>
          <m:e>
            <m:r>
              <w:rPr>
                <w:rFonts w:ascii="Cambria Math" w:hAnsi="Cambria Math" w:cs="Arial"/>
                <w:szCs w:val="20"/>
              </w:rPr>
              <m:t>Hz</m:t>
            </m:r>
          </m:e>
        </m:rad>
      </m:oMath>
      <w:r w:rsidRPr="00390179">
        <w:rPr>
          <w:rFonts w:eastAsiaTheme="minorEastAsia" w:cs="Arial"/>
          <w:iCs/>
          <w:szCs w:val="20"/>
        </w:rPr>
        <w:t xml:space="preserve"> y el ruido de corriente es 0.3 pA/</w:t>
      </w:r>
      <m:oMath>
        <m:rad>
          <m:radPr>
            <m:degHide m:val="1"/>
            <m:ctrlPr>
              <w:rPr>
                <w:rFonts w:ascii="Cambria Math" w:hAnsi="Cambria Math" w:cs="Arial"/>
                <w:i/>
                <w:iCs/>
                <w:szCs w:val="20"/>
              </w:rPr>
            </m:ctrlPr>
          </m:radPr>
          <m:deg/>
          <m:e>
            <m:r>
              <w:rPr>
                <w:rFonts w:ascii="Cambria Math" w:hAnsi="Cambria Math" w:cs="Arial"/>
                <w:szCs w:val="20"/>
              </w:rPr>
              <m:t>Hz</m:t>
            </m:r>
          </m:e>
        </m:rad>
      </m:oMath>
      <w:r w:rsidRPr="00390179">
        <w:rPr>
          <w:rFonts w:eastAsiaTheme="minorEastAsia" w:cs="Arial"/>
          <w:iCs/>
          <w:szCs w:val="20"/>
        </w:rPr>
        <w:t xml:space="preserve"> para frecuencia de hasta 1 kHz (</w:t>
      </w:r>
      <w:r w:rsidRPr="00390179">
        <w:rPr>
          <w:rFonts w:cs="Arial"/>
          <w:szCs w:val="20"/>
        </w:rPr>
        <w:t>Burr-Brown, 2005)</w:t>
      </w:r>
      <w:r w:rsidRPr="00390179">
        <w:rPr>
          <w:rFonts w:eastAsiaTheme="minorEastAsia" w:cs="Arial"/>
          <w:iCs/>
          <w:szCs w:val="20"/>
        </w:rPr>
        <w:t>, por lo que la resistencia óptima debe ser:</w:t>
      </w:r>
    </w:p>
    <w:p w14:paraId="44079C71" w14:textId="77777777" w:rsidR="00F50D39" w:rsidRPr="001B3AB6" w:rsidRDefault="00F50D39" w:rsidP="00F50D39">
      <w:pPr>
        <w:autoSpaceDE w:val="0"/>
        <w:autoSpaceDN w:val="0"/>
        <w:adjustRightInd w:val="0"/>
        <w:spacing w:after="0" w:line="240" w:lineRule="auto"/>
        <w:jc w:val="both"/>
        <w:rPr>
          <w:rFonts w:eastAsiaTheme="minorEastAsia" w:cs="Arial"/>
          <w:iCs/>
          <w:sz w:val="24"/>
          <w:szCs w:val="24"/>
        </w:rPr>
      </w:pPr>
      <m:oMathPara>
        <m:oMathParaPr>
          <m:jc m:val="center"/>
        </m:oMathParaPr>
        <m:oMath>
          <m:r>
            <w:rPr>
              <w:rFonts w:ascii="Cambria Math" w:eastAsiaTheme="minorEastAsia" w:hAnsi="Cambria Math" w:cs="Arial"/>
              <w:szCs w:val="20"/>
            </w:rPr>
            <m:t>Ro=</m:t>
          </m:r>
          <m:f>
            <m:fPr>
              <m:ctrlPr>
                <w:rPr>
                  <w:rFonts w:ascii="Cambria Math" w:eastAsiaTheme="minorEastAsia" w:hAnsi="Cambria Math" w:cs="Arial"/>
                  <w:i/>
                  <w:iCs/>
                  <w:szCs w:val="20"/>
                </w:rPr>
              </m:ctrlPr>
            </m:fPr>
            <m:num>
              <m:r>
                <m:rPr>
                  <m:sty m:val="p"/>
                </m:rPr>
                <w:rPr>
                  <w:rFonts w:ascii="Cambria Math" w:hAnsi="Cambria Math" w:cs="Arial"/>
                  <w:szCs w:val="20"/>
                </w:rPr>
                <m:t>8 nV/</m:t>
              </m:r>
              <m:rad>
                <m:radPr>
                  <m:degHide m:val="1"/>
                  <m:ctrlPr>
                    <w:rPr>
                      <w:rFonts w:ascii="Cambria Math" w:hAnsi="Cambria Math" w:cs="Arial"/>
                      <w:i/>
                      <w:iCs/>
                      <w:szCs w:val="20"/>
                    </w:rPr>
                  </m:ctrlPr>
                </m:radPr>
                <m:deg/>
                <m:e>
                  <m:r>
                    <w:rPr>
                      <w:rFonts w:ascii="Cambria Math" w:hAnsi="Cambria Math" w:cs="Arial"/>
                      <w:szCs w:val="20"/>
                    </w:rPr>
                    <m:t>Hz</m:t>
                  </m:r>
                </m:e>
              </m:rad>
            </m:num>
            <m:den>
              <m:r>
                <m:rPr>
                  <m:sty m:val="p"/>
                </m:rPr>
                <w:rPr>
                  <w:rFonts w:ascii="Cambria Math" w:eastAsiaTheme="minorEastAsia" w:hAnsi="Cambria Math" w:cs="Arial"/>
                  <w:szCs w:val="20"/>
                </w:rPr>
                <m:t>0.3 pA/</m:t>
              </m:r>
              <m:rad>
                <m:radPr>
                  <m:degHide m:val="1"/>
                  <m:ctrlPr>
                    <w:rPr>
                      <w:rFonts w:ascii="Cambria Math" w:hAnsi="Cambria Math" w:cs="Arial"/>
                      <w:i/>
                      <w:iCs/>
                      <w:szCs w:val="20"/>
                    </w:rPr>
                  </m:ctrlPr>
                </m:radPr>
                <m:deg/>
                <m:e>
                  <m:r>
                    <w:rPr>
                      <w:rFonts w:ascii="Cambria Math" w:hAnsi="Cambria Math" w:cs="Arial"/>
                      <w:szCs w:val="20"/>
                    </w:rPr>
                    <m:t>Hz</m:t>
                  </m:r>
                </m:e>
              </m:rad>
            </m:den>
          </m:f>
          <m:r>
            <w:rPr>
              <w:rFonts w:ascii="Cambria Math" w:eastAsiaTheme="minorEastAsia" w:hAnsi="Cambria Math" w:cs="Arial"/>
              <w:szCs w:val="20"/>
            </w:rPr>
            <m:t>=26.66kΩ</m:t>
          </m:r>
        </m:oMath>
      </m:oMathPara>
    </w:p>
    <w:p w14:paraId="73097350" w14:textId="77777777" w:rsidR="00F50D39" w:rsidRPr="00390179" w:rsidRDefault="00F50D39" w:rsidP="00F50D39">
      <w:pPr>
        <w:spacing w:after="0" w:line="240" w:lineRule="auto"/>
        <w:jc w:val="both"/>
        <w:rPr>
          <w:rFonts w:cs="Arial"/>
          <w:szCs w:val="20"/>
        </w:rPr>
      </w:pPr>
      <w:r w:rsidRPr="00390179">
        <w:rPr>
          <w:rFonts w:cs="Arial"/>
          <w:szCs w:val="20"/>
        </w:rPr>
        <w:t>En consecuencia, para el diseño el amplificador cumple que:</w:t>
      </w:r>
    </w:p>
    <w:p w14:paraId="4C99C337" w14:textId="77777777" w:rsidR="00F50D39" w:rsidRPr="00390179" w:rsidRDefault="00F50D39" w:rsidP="00F50D39">
      <w:pPr>
        <w:spacing w:after="0" w:line="240" w:lineRule="auto"/>
        <w:jc w:val="center"/>
        <w:rPr>
          <w:rFonts w:cs="Arial"/>
          <w:szCs w:val="20"/>
        </w:rPr>
      </w:pPr>
      <m:oMathPara>
        <m:oMath>
          <m:f>
            <m:fPr>
              <m:ctrlPr>
                <w:rPr>
                  <w:rFonts w:ascii="Cambria Math" w:hAnsi="Cambria Math" w:cs="Arial"/>
                  <w:i/>
                  <w:szCs w:val="20"/>
                </w:rPr>
              </m:ctrlPr>
            </m:fPr>
            <m:num>
              <m:r>
                <w:rPr>
                  <w:rFonts w:ascii="Cambria Math" w:hAnsi="Cambria Math" w:cs="Arial"/>
                  <w:szCs w:val="20"/>
                </w:rPr>
                <m:t>1</m:t>
              </m:r>
            </m:num>
            <m:den>
              <m:r>
                <w:rPr>
                  <w:rFonts w:ascii="Cambria Math" w:hAnsi="Cambria Math" w:cs="Arial"/>
                  <w:szCs w:val="20"/>
                </w:rPr>
                <m:t>jwCs</m:t>
              </m:r>
            </m:den>
          </m:f>
          <m:r>
            <w:rPr>
              <w:rFonts w:ascii="Cambria Math" w:hAnsi="Cambria Math" w:cs="Arial"/>
              <w:szCs w:val="20"/>
            </w:rPr>
            <m:t>≈Ro</m:t>
          </m:r>
        </m:oMath>
      </m:oMathPara>
    </w:p>
    <w:p w14:paraId="41E2F843" w14:textId="77777777" w:rsidR="00F50D39" w:rsidRDefault="00F50D39" w:rsidP="00F50D39">
      <w:pPr>
        <w:spacing w:after="0" w:line="240" w:lineRule="auto"/>
        <w:jc w:val="both"/>
        <w:rPr>
          <w:rFonts w:cs="Arial"/>
          <w:szCs w:val="20"/>
        </w:rPr>
      </w:pPr>
      <w:r w:rsidRPr="00390179">
        <w:rPr>
          <w:rFonts w:cs="Arial"/>
          <w:szCs w:val="20"/>
        </w:rPr>
        <w:t xml:space="preserve">El valor de la resistencia óptima es 26.66 kΩ, comparado con el valor de la tabla 1, en la columna de 100 y 10 Hz, los valores de impedancia son </w:t>
      </w:r>
      <w:r>
        <w:rPr>
          <w:rFonts w:cs="Arial"/>
          <w:szCs w:val="20"/>
        </w:rPr>
        <w:t>2</w:t>
      </w:r>
      <w:r w:rsidRPr="00390179">
        <w:rPr>
          <w:rFonts w:cs="Arial"/>
          <w:szCs w:val="20"/>
        </w:rPr>
        <w:t xml:space="preserve">5.91 kΩ y </w:t>
      </w:r>
      <w:r>
        <w:rPr>
          <w:rFonts w:cs="Arial"/>
          <w:szCs w:val="20"/>
        </w:rPr>
        <w:t>2</w:t>
      </w:r>
      <w:r w:rsidRPr="00390179">
        <w:rPr>
          <w:rFonts w:cs="Arial"/>
          <w:szCs w:val="20"/>
        </w:rPr>
        <w:t xml:space="preserve">59.1 kΩ respectivamente, tomando en cuenta que la tarjeta trabajará en una banda de frecuencias entre </w:t>
      </w:r>
      <w:r>
        <w:rPr>
          <w:rFonts w:cs="Arial"/>
          <w:szCs w:val="20"/>
        </w:rPr>
        <w:t>80 a</w:t>
      </w:r>
      <w:r w:rsidRPr="00390179">
        <w:rPr>
          <w:rFonts w:cs="Arial"/>
          <w:szCs w:val="20"/>
        </w:rPr>
        <w:t xml:space="preserve"> 300 Hz</w:t>
      </w:r>
      <w:r>
        <w:rPr>
          <w:rFonts w:cs="Arial"/>
          <w:szCs w:val="20"/>
        </w:rPr>
        <w:t>,</w:t>
      </w:r>
      <w:r w:rsidRPr="00390179">
        <w:rPr>
          <w:rFonts w:cs="Arial"/>
          <w:szCs w:val="20"/>
        </w:rPr>
        <w:t xml:space="preserve"> se puede observar que el valor </w:t>
      </w:r>
      <w:r>
        <w:rPr>
          <w:rFonts w:cs="Arial"/>
          <w:szCs w:val="20"/>
        </w:rPr>
        <w:t>de la resistencia optima de 26.66 k</w:t>
      </w:r>
      <w:r w:rsidRPr="00390179">
        <w:rPr>
          <w:rFonts w:cs="Arial"/>
          <w:szCs w:val="20"/>
        </w:rPr>
        <w:t>Ω</w:t>
      </w:r>
      <w:r>
        <w:rPr>
          <w:rFonts w:cs="Arial"/>
          <w:szCs w:val="20"/>
        </w:rPr>
        <w:t xml:space="preserve"> queda dentro del rango de valores de 100 Hz</w:t>
      </w:r>
      <w:r w:rsidRPr="00390179">
        <w:rPr>
          <w:rFonts w:cs="Arial"/>
          <w:szCs w:val="20"/>
        </w:rPr>
        <w:t>, lo que permite el registro de señal de lo contrario tendrá perdidas. El circuito de la etapa del preamplificador para</w:t>
      </w:r>
      <w:r>
        <w:rPr>
          <w:rFonts w:cs="Arial"/>
          <w:szCs w:val="20"/>
        </w:rPr>
        <w:t xml:space="preserve"> </w:t>
      </w:r>
      <w:r w:rsidRPr="00390179">
        <w:rPr>
          <w:rFonts w:cs="Arial"/>
          <w:szCs w:val="20"/>
        </w:rPr>
        <w:t xml:space="preserve">biopotenciales se muestra en la figura </w:t>
      </w:r>
      <w:r>
        <w:rPr>
          <w:rFonts w:cs="Arial"/>
          <w:szCs w:val="20"/>
        </w:rPr>
        <w:t>4, donde se pueden ver los electrodos secos y sus dimensiones</w:t>
      </w:r>
      <w:r w:rsidRPr="00390179">
        <w:rPr>
          <w:rFonts w:cs="Arial"/>
          <w:szCs w:val="20"/>
        </w:rPr>
        <w:t>.</w:t>
      </w:r>
    </w:p>
    <w:p w14:paraId="3B5AEFAB" w14:textId="77777777" w:rsidR="00F50D39" w:rsidRPr="00390179" w:rsidRDefault="00F50D39" w:rsidP="00F50D39">
      <w:pPr>
        <w:spacing w:after="0" w:line="240" w:lineRule="auto"/>
        <w:jc w:val="both"/>
        <w:rPr>
          <w:rFonts w:cs="Arial"/>
          <w:szCs w:val="20"/>
        </w:rPr>
      </w:pPr>
    </w:p>
    <w:p w14:paraId="2AA937FB" w14:textId="77777777" w:rsidR="00F50D39" w:rsidRPr="00390179" w:rsidRDefault="00F50D39" w:rsidP="00F50D39">
      <w:pPr>
        <w:spacing w:after="0" w:line="240" w:lineRule="auto"/>
        <w:jc w:val="center"/>
        <w:rPr>
          <w:rFonts w:cs="Arial"/>
          <w:b/>
          <w:color w:val="000000" w:themeColor="text1"/>
          <w:sz w:val="24"/>
          <w:szCs w:val="24"/>
        </w:rPr>
      </w:pPr>
      <w:r>
        <w:rPr>
          <w:rFonts w:cs="Arial"/>
          <w:b/>
          <w:noProof/>
          <w:color w:val="000000" w:themeColor="text1"/>
          <w:sz w:val="24"/>
          <w:szCs w:val="24"/>
          <w:lang w:eastAsia="es-MX"/>
        </w:rPr>
        <w:drawing>
          <wp:inline distT="0" distB="0" distL="0" distR="0" wp14:anchorId="0ADC1944" wp14:editId="38C1ECAB">
            <wp:extent cx="1397000" cy="1936750"/>
            <wp:effectExtent l="0" t="0" r="0" b="6350"/>
            <wp:docPr id="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7000" cy="1936750"/>
                    </a:xfrm>
                    <a:prstGeom prst="rect">
                      <a:avLst/>
                    </a:prstGeom>
                    <a:noFill/>
                    <a:ln>
                      <a:noFill/>
                    </a:ln>
                  </pic:spPr>
                </pic:pic>
              </a:graphicData>
            </a:graphic>
          </wp:inline>
        </w:drawing>
      </w:r>
      <w:r w:rsidRPr="00390179">
        <w:rPr>
          <w:rFonts w:cs="Arial"/>
          <w:noProof/>
          <w:color w:val="000000" w:themeColor="text1"/>
          <w:sz w:val="24"/>
          <w:szCs w:val="24"/>
          <w:lang w:eastAsia="es-MX"/>
        </w:rPr>
        <w:drawing>
          <wp:inline distT="0" distB="0" distL="0" distR="0" wp14:anchorId="02A120FC" wp14:editId="7A7B143F">
            <wp:extent cx="3615615" cy="1959294"/>
            <wp:effectExtent l="57150" t="57150" r="99695" b="984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Effect>
                                <a14:saturation sat="400000"/>
                              </a14:imgEffect>
                            </a14:imgLayer>
                          </a14:imgProps>
                        </a:ext>
                      </a:extLst>
                    </a:blip>
                    <a:stretch>
                      <a:fillRect/>
                    </a:stretch>
                  </pic:blipFill>
                  <pic:spPr>
                    <a:xfrm>
                      <a:off x="0" y="0"/>
                      <a:ext cx="3636835" cy="197079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D56F40" w14:textId="77777777" w:rsidR="00F50D39" w:rsidRPr="007C2428" w:rsidRDefault="00F50D39" w:rsidP="00F50D39">
      <w:pPr>
        <w:spacing w:after="0" w:line="240" w:lineRule="auto"/>
        <w:jc w:val="center"/>
        <w:rPr>
          <w:rFonts w:cs="Arial"/>
          <w:b/>
          <w:color w:val="000000" w:themeColor="text1"/>
          <w:sz w:val="18"/>
          <w:szCs w:val="18"/>
        </w:rPr>
      </w:pPr>
      <w:r w:rsidRPr="007C2428">
        <w:rPr>
          <w:rFonts w:cs="Arial"/>
          <w:b/>
          <w:color w:val="000000" w:themeColor="text1"/>
          <w:sz w:val="18"/>
          <w:szCs w:val="18"/>
        </w:rPr>
        <w:t xml:space="preserve">Figura </w:t>
      </w:r>
      <w:r>
        <w:rPr>
          <w:rFonts w:cs="Arial"/>
          <w:b/>
          <w:color w:val="000000" w:themeColor="text1"/>
          <w:sz w:val="18"/>
          <w:szCs w:val="18"/>
        </w:rPr>
        <w:t>4</w:t>
      </w:r>
      <w:r w:rsidRPr="007C2428">
        <w:rPr>
          <w:rFonts w:cs="Arial"/>
          <w:b/>
          <w:color w:val="000000" w:themeColor="text1"/>
          <w:sz w:val="18"/>
          <w:szCs w:val="18"/>
        </w:rPr>
        <w:t>. Preamplificador de biopotenciales con tierra virtual y blindaje contra interferencias electromagnéticas.</w:t>
      </w:r>
    </w:p>
    <w:p w14:paraId="6F19C6A2" w14:textId="77777777" w:rsidR="00F50D39" w:rsidRPr="007C2428" w:rsidRDefault="00F50D39" w:rsidP="00F50D39">
      <w:pPr>
        <w:spacing w:after="0" w:line="240" w:lineRule="auto"/>
        <w:rPr>
          <w:rFonts w:cs="Arial"/>
          <w:b/>
          <w:color w:val="000000" w:themeColor="text1"/>
          <w:sz w:val="18"/>
          <w:szCs w:val="18"/>
        </w:rPr>
      </w:pPr>
      <w:r w:rsidRPr="007C2428">
        <w:rPr>
          <w:rFonts w:cs="Arial"/>
          <w:b/>
          <w:color w:val="000000" w:themeColor="text1"/>
          <w:sz w:val="18"/>
          <w:szCs w:val="18"/>
        </w:rPr>
        <w:t>Fuente: Elaboración propia con base a datasheet del INA129.</w:t>
      </w:r>
    </w:p>
    <w:p w14:paraId="4AE633A1" w14:textId="77777777" w:rsidR="00F50D39" w:rsidRPr="009558D1" w:rsidRDefault="00F50D39" w:rsidP="00F50D39">
      <w:pPr>
        <w:spacing w:after="0" w:line="240" w:lineRule="auto"/>
        <w:rPr>
          <w:rFonts w:cs="Arial"/>
          <w:b/>
          <w:color w:val="000000" w:themeColor="text1"/>
          <w:szCs w:val="20"/>
        </w:rPr>
      </w:pPr>
    </w:p>
    <w:p w14:paraId="7C578E36" w14:textId="77777777" w:rsidR="00F50D39" w:rsidRPr="00390179" w:rsidRDefault="00F50D39" w:rsidP="00F50D39">
      <w:pPr>
        <w:spacing w:after="0" w:line="240" w:lineRule="auto"/>
        <w:jc w:val="both"/>
        <w:rPr>
          <w:rFonts w:cs="Arial"/>
          <w:color w:val="000000"/>
          <w:szCs w:val="20"/>
        </w:rPr>
      </w:pPr>
      <w:r w:rsidRPr="00390179">
        <w:rPr>
          <w:rFonts w:cs="Arial"/>
          <w:szCs w:val="20"/>
        </w:rPr>
        <w:t xml:space="preserve">El preamplificador se diseñó con ganancia de 10 a un rango de frecuencia </w:t>
      </w:r>
      <w:r>
        <w:rPr>
          <w:rFonts w:cs="Arial"/>
          <w:szCs w:val="20"/>
        </w:rPr>
        <w:t>4</w:t>
      </w:r>
      <w:r w:rsidRPr="00390179">
        <w:rPr>
          <w:rFonts w:cs="Arial"/>
          <w:szCs w:val="20"/>
        </w:rPr>
        <w:t>0 Hz</w:t>
      </w:r>
      <w:r>
        <w:rPr>
          <w:rFonts w:cs="Arial"/>
          <w:szCs w:val="20"/>
        </w:rPr>
        <w:t xml:space="preserve"> en adelante</w:t>
      </w:r>
      <w:r w:rsidRPr="00390179">
        <w:rPr>
          <w:rFonts w:cs="Arial"/>
          <w:szCs w:val="20"/>
        </w:rPr>
        <w:t>, para obtener 120dB en el CMRR</w:t>
      </w:r>
      <w:r>
        <w:rPr>
          <w:rFonts w:cs="Arial"/>
          <w:szCs w:val="20"/>
        </w:rPr>
        <w:t>, el circuito cuenta con un blindaje para señales electromagnéticas externas</w:t>
      </w:r>
      <w:r w:rsidRPr="00390179">
        <w:rPr>
          <w:rFonts w:cs="Arial"/>
          <w:szCs w:val="20"/>
        </w:rPr>
        <w:t>. Además, el a</w:t>
      </w:r>
      <w:r w:rsidRPr="00390179">
        <w:rPr>
          <w:rStyle w:val="Strong"/>
          <w:rFonts w:cs="Arial"/>
          <w:color w:val="000000"/>
          <w:szCs w:val="20"/>
          <w:bdr w:val="none" w:sz="0" w:space="0" w:color="auto" w:frame="1"/>
        </w:rPr>
        <w:t>cople de aislamiento e impedancia del electrodo de referencia t</w:t>
      </w:r>
      <w:r w:rsidRPr="00390179">
        <w:rPr>
          <w:rFonts w:cs="Arial"/>
          <w:color w:val="000000"/>
          <w:szCs w:val="20"/>
        </w:rPr>
        <w:t>iene dos objetivos: el primero</w:t>
      </w:r>
      <w:r w:rsidRPr="00390179">
        <w:rPr>
          <w:rFonts w:cs="Arial"/>
          <w:b/>
          <w:color w:val="000000"/>
          <w:szCs w:val="20"/>
        </w:rPr>
        <w:t xml:space="preserve"> </w:t>
      </w:r>
      <w:r w:rsidRPr="00390179">
        <w:rPr>
          <w:rFonts w:cs="Arial"/>
          <w:color w:val="000000"/>
          <w:szCs w:val="20"/>
        </w:rPr>
        <w:t>es colocar el electrodo de referencia a una tierra activa aislada de la tierra eléctrica del circuito con el propósito de suministrar seguridad eléctrica al paciente; y el segundo, atenuar el voltaje de modo común que afecta los terminales de entrada del amplificador de instrumentación.</w:t>
      </w:r>
    </w:p>
    <w:p w14:paraId="45F7AEF2" w14:textId="77777777" w:rsidR="00F50D39" w:rsidRDefault="00F50D39" w:rsidP="00F50D39">
      <w:pPr>
        <w:spacing w:after="0" w:line="240" w:lineRule="auto"/>
        <w:jc w:val="both"/>
        <w:rPr>
          <w:rFonts w:cs="Arial"/>
          <w:b/>
          <w:bCs/>
          <w:color w:val="000000" w:themeColor="text1"/>
          <w:szCs w:val="20"/>
        </w:rPr>
      </w:pPr>
    </w:p>
    <w:p w14:paraId="49FF412C" w14:textId="77777777" w:rsidR="00F50D39" w:rsidRDefault="00F50D39" w:rsidP="00F50D39">
      <w:pPr>
        <w:spacing w:after="0" w:line="240" w:lineRule="auto"/>
        <w:jc w:val="both"/>
        <w:rPr>
          <w:rFonts w:cs="Arial"/>
          <w:b/>
          <w:bCs/>
          <w:color w:val="000000" w:themeColor="text1"/>
          <w:szCs w:val="20"/>
        </w:rPr>
      </w:pPr>
    </w:p>
    <w:p w14:paraId="607404DB" w14:textId="77777777" w:rsidR="00F50D39" w:rsidRPr="00FC1AB3" w:rsidRDefault="00F50D39" w:rsidP="00F50D39">
      <w:pPr>
        <w:spacing w:after="0" w:line="240" w:lineRule="auto"/>
        <w:jc w:val="both"/>
        <w:rPr>
          <w:rFonts w:cs="Arial"/>
          <w:b/>
          <w:bCs/>
          <w:color w:val="000000" w:themeColor="text1"/>
          <w:szCs w:val="20"/>
        </w:rPr>
      </w:pPr>
    </w:p>
    <w:p w14:paraId="5DEB3786" w14:textId="77777777" w:rsidR="00F50D39" w:rsidRPr="009558D1" w:rsidRDefault="00F50D39" w:rsidP="00F50D39">
      <w:pPr>
        <w:spacing w:after="0" w:line="240" w:lineRule="auto"/>
        <w:rPr>
          <w:rFonts w:cs="Arial"/>
          <w:b/>
          <w:bCs/>
          <w:color w:val="0070C0"/>
          <w:sz w:val="24"/>
          <w:szCs w:val="24"/>
        </w:rPr>
      </w:pPr>
      <w:r w:rsidRPr="009558D1">
        <w:rPr>
          <w:rFonts w:cs="Arial"/>
          <w:b/>
          <w:bCs/>
          <w:color w:val="000000" w:themeColor="text1"/>
          <w:sz w:val="24"/>
          <w:szCs w:val="24"/>
        </w:rPr>
        <w:t xml:space="preserve">DISEÑO DEL FILTRO PASA BANDAS DE 80 HZ A </w:t>
      </w:r>
      <w:r>
        <w:rPr>
          <w:rFonts w:cs="Arial"/>
          <w:b/>
          <w:bCs/>
          <w:color w:val="000000" w:themeColor="text1"/>
          <w:sz w:val="24"/>
          <w:szCs w:val="24"/>
        </w:rPr>
        <w:t>3</w:t>
      </w:r>
      <w:r w:rsidRPr="009558D1">
        <w:rPr>
          <w:rFonts w:cs="Arial"/>
          <w:b/>
          <w:bCs/>
          <w:color w:val="000000" w:themeColor="text1"/>
          <w:sz w:val="24"/>
          <w:szCs w:val="24"/>
        </w:rPr>
        <w:t>00HZ.</w:t>
      </w:r>
    </w:p>
    <w:p w14:paraId="23BDF416" w14:textId="77777777" w:rsidR="00F50D39" w:rsidRPr="00B95AD3" w:rsidRDefault="00F50D39" w:rsidP="00F50D39">
      <w:pPr>
        <w:spacing w:after="0" w:line="240" w:lineRule="auto"/>
        <w:jc w:val="both"/>
        <w:rPr>
          <w:rFonts w:cs="Arial"/>
          <w:szCs w:val="20"/>
        </w:rPr>
      </w:pPr>
    </w:p>
    <w:p w14:paraId="4949B2C1" w14:textId="77777777" w:rsidR="00F50D39" w:rsidRPr="00390179" w:rsidRDefault="00F50D39" w:rsidP="00F50D39">
      <w:pPr>
        <w:spacing w:after="0" w:line="240" w:lineRule="auto"/>
        <w:jc w:val="both"/>
        <w:rPr>
          <w:rFonts w:cs="Arial"/>
          <w:szCs w:val="20"/>
        </w:rPr>
      </w:pPr>
      <w:r w:rsidRPr="00390179">
        <w:rPr>
          <w:rFonts w:cs="Arial"/>
          <w:szCs w:val="20"/>
        </w:rPr>
        <w:t xml:space="preserve">Sabemos que las señales sEMG tienen una banda que va desde los 2 Hz a frecuencias superiores a los 500 Hz, para evitar registrar los movimientos musculares generados por las fibras lentas que se activan por el simple hecho de mover los brazos, la banda de frecuencia se selecciona a partir de los 80 a los </w:t>
      </w:r>
      <w:r>
        <w:rPr>
          <w:rFonts w:cs="Arial"/>
          <w:szCs w:val="20"/>
        </w:rPr>
        <w:t>3</w:t>
      </w:r>
      <w:r w:rsidRPr="00390179">
        <w:rPr>
          <w:rFonts w:cs="Arial"/>
          <w:szCs w:val="20"/>
        </w:rPr>
        <w:t xml:space="preserve">00 Hz. </w:t>
      </w:r>
      <w:r w:rsidRPr="00390179">
        <w:rPr>
          <w:rFonts w:cs="Arial"/>
          <w:color w:val="000000"/>
          <w:szCs w:val="20"/>
        </w:rPr>
        <w:t>Para el diseño de los filtros que permiten obtener una señal “limpia” para su respectivo análisis, es conveniente utilizar una herramienta de diseño de filtros activos que permitan simular el comportamiento del filtro requerido, simplificando el trabajo de diseño de estos.</w:t>
      </w:r>
      <w:r>
        <w:rPr>
          <w:rFonts w:cs="Arial"/>
          <w:color w:val="000000"/>
          <w:szCs w:val="20"/>
        </w:rPr>
        <w:t xml:space="preserve"> </w:t>
      </w:r>
      <w:r w:rsidRPr="00390179">
        <w:rPr>
          <w:rFonts w:cs="Arial"/>
          <w:szCs w:val="20"/>
        </w:rPr>
        <w:t xml:space="preserve">El filtro pasa bandas es formado por un filtro pasa altas de cuarto orden tipo Chebyshev de 1 dB con frecuencia de corte de 80 Hz, y un filtro pasa bajas de segundo orden tipo Butterworth con frecuencia de corte de </w:t>
      </w:r>
      <w:r>
        <w:rPr>
          <w:rFonts w:cs="Arial"/>
          <w:szCs w:val="20"/>
        </w:rPr>
        <w:t>3</w:t>
      </w:r>
      <w:r w:rsidRPr="00390179">
        <w:rPr>
          <w:rFonts w:cs="Arial"/>
          <w:szCs w:val="20"/>
        </w:rPr>
        <w:t xml:space="preserve">00Hz. En la figura </w:t>
      </w:r>
      <w:r>
        <w:rPr>
          <w:rFonts w:cs="Arial"/>
          <w:szCs w:val="20"/>
        </w:rPr>
        <w:t>5,</w:t>
      </w:r>
      <w:r w:rsidRPr="00390179">
        <w:rPr>
          <w:rFonts w:cs="Arial"/>
          <w:szCs w:val="20"/>
        </w:rPr>
        <w:t xml:space="preserve"> </w:t>
      </w:r>
      <w:r>
        <w:rPr>
          <w:rFonts w:cs="Arial"/>
          <w:szCs w:val="20"/>
        </w:rPr>
        <w:t>se observa</w:t>
      </w:r>
      <w:r w:rsidRPr="00390179">
        <w:rPr>
          <w:rFonts w:cs="Arial"/>
          <w:szCs w:val="20"/>
        </w:rPr>
        <w:t xml:space="preserve"> </w:t>
      </w:r>
      <w:r>
        <w:rPr>
          <w:rFonts w:cs="Arial"/>
          <w:szCs w:val="20"/>
        </w:rPr>
        <w:t>e</w:t>
      </w:r>
      <w:r w:rsidRPr="00390179">
        <w:rPr>
          <w:rFonts w:cs="Arial"/>
          <w:szCs w:val="20"/>
        </w:rPr>
        <w:t>l diseño final del filtro pasa altas de cuarto orden a) y el filtro pasa bajas de segundo orden b)</w:t>
      </w:r>
      <w:r>
        <w:rPr>
          <w:rFonts w:cs="Arial"/>
          <w:szCs w:val="20"/>
        </w:rPr>
        <w:t xml:space="preserve"> y la respuesta en frecuencia</w:t>
      </w:r>
      <w:r w:rsidRPr="00390179">
        <w:rPr>
          <w:rFonts w:cs="Arial"/>
          <w:szCs w:val="20"/>
        </w:rPr>
        <w:t>.</w:t>
      </w:r>
    </w:p>
    <w:p w14:paraId="2B5B69E2" w14:textId="77777777" w:rsidR="00F50D39" w:rsidRPr="00390179" w:rsidRDefault="00F50D39" w:rsidP="00F50D39">
      <w:pPr>
        <w:spacing w:after="0" w:line="240" w:lineRule="auto"/>
        <w:jc w:val="center"/>
        <w:rPr>
          <w:rFonts w:cs="Arial"/>
          <w:color w:val="000000" w:themeColor="text1"/>
          <w:sz w:val="24"/>
          <w:szCs w:val="24"/>
        </w:rPr>
      </w:pPr>
      <w:r w:rsidRPr="00390179">
        <w:rPr>
          <w:rFonts w:cs="Arial"/>
          <w:noProof/>
          <w:color w:val="000000" w:themeColor="text1"/>
          <w:sz w:val="24"/>
          <w:szCs w:val="24"/>
          <w:lang w:eastAsia="es-MX"/>
        </w:rPr>
        <w:drawing>
          <wp:inline distT="0" distB="0" distL="0" distR="0" wp14:anchorId="5EC4B7A3" wp14:editId="3BC5D7A2">
            <wp:extent cx="3132416" cy="2387123"/>
            <wp:effectExtent l="57150" t="57150" r="87630" b="89535"/>
            <wp:docPr id="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149399" cy="24000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Arial"/>
          <w:noProof/>
          <w:color w:val="000000" w:themeColor="text1"/>
          <w:sz w:val="24"/>
          <w:szCs w:val="24"/>
          <w:lang w:eastAsia="es-MX"/>
        </w:rPr>
        <w:drawing>
          <wp:inline distT="0" distB="0" distL="0" distR="0" wp14:anchorId="2FEE3F83" wp14:editId="62076060">
            <wp:extent cx="2479853" cy="1588135"/>
            <wp:effectExtent l="0" t="0" r="0" b="0"/>
            <wp:docPr id="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6044" cy="1604908"/>
                    </a:xfrm>
                    <a:prstGeom prst="rect">
                      <a:avLst/>
                    </a:prstGeom>
                    <a:noFill/>
                    <a:ln>
                      <a:noFill/>
                    </a:ln>
                  </pic:spPr>
                </pic:pic>
              </a:graphicData>
            </a:graphic>
          </wp:inline>
        </w:drawing>
      </w:r>
    </w:p>
    <w:p w14:paraId="6CF9DFC9" w14:textId="77777777" w:rsidR="00F50D39" w:rsidRPr="00B95AD3" w:rsidRDefault="00F50D39" w:rsidP="00F50D39">
      <w:pPr>
        <w:spacing w:after="0" w:line="240" w:lineRule="auto"/>
        <w:jc w:val="center"/>
        <w:rPr>
          <w:rFonts w:cs="Arial"/>
          <w:b/>
          <w:color w:val="000000" w:themeColor="text1"/>
          <w:sz w:val="18"/>
          <w:szCs w:val="18"/>
        </w:rPr>
      </w:pPr>
      <w:r w:rsidRPr="00B95AD3">
        <w:rPr>
          <w:rFonts w:cs="Arial"/>
          <w:b/>
          <w:color w:val="000000" w:themeColor="text1"/>
          <w:sz w:val="18"/>
          <w:szCs w:val="18"/>
        </w:rPr>
        <w:t xml:space="preserve">Figura </w:t>
      </w:r>
      <w:r>
        <w:rPr>
          <w:rFonts w:cs="Arial"/>
          <w:b/>
          <w:color w:val="000000" w:themeColor="text1"/>
          <w:sz w:val="18"/>
          <w:szCs w:val="18"/>
        </w:rPr>
        <w:t>5</w:t>
      </w:r>
      <w:r w:rsidRPr="00B95AD3">
        <w:rPr>
          <w:rFonts w:cs="Arial"/>
          <w:b/>
          <w:color w:val="000000" w:themeColor="text1"/>
          <w:sz w:val="18"/>
          <w:szCs w:val="18"/>
        </w:rPr>
        <w:t xml:space="preserve">. a) Filtro pasa altas de cuarto orden Chebyshev 1 dB con fc = 80 Hz. b) Filtro pasa bajas de segundo orden Butterworth con fc = </w:t>
      </w:r>
      <w:r>
        <w:rPr>
          <w:rFonts w:cs="Arial"/>
          <w:b/>
          <w:color w:val="000000" w:themeColor="text1"/>
          <w:sz w:val="18"/>
          <w:szCs w:val="18"/>
        </w:rPr>
        <w:t>3</w:t>
      </w:r>
      <w:r w:rsidRPr="00B95AD3">
        <w:rPr>
          <w:rFonts w:cs="Arial"/>
          <w:b/>
          <w:color w:val="000000" w:themeColor="text1"/>
          <w:sz w:val="18"/>
          <w:szCs w:val="18"/>
        </w:rPr>
        <w:t>00 Hz.</w:t>
      </w:r>
    </w:p>
    <w:p w14:paraId="490B164F" w14:textId="77777777" w:rsidR="00F50D39" w:rsidRPr="00B95AD3" w:rsidRDefault="00F50D39" w:rsidP="00F50D39">
      <w:pPr>
        <w:autoSpaceDE w:val="0"/>
        <w:autoSpaceDN w:val="0"/>
        <w:adjustRightInd w:val="0"/>
        <w:spacing w:after="0" w:line="240" w:lineRule="auto"/>
        <w:rPr>
          <w:rFonts w:cs="Arial"/>
          <w:b/>
          <w:color w:val="000000" w:themeColor="text1"/>
          <w:sz w:val="18"/>
          <w:szCs w:val="18"/>
        </w:rPr>
      </w:pPr>
      <w:r w:rsidRPr="00B95AD3">
        <w:rPr>
          <w:rFonts w:cs="Arial"/>
          <w:b/>
          <w:color w:val="000000" w:themeColor="text1"/>
          <w:sz w:val="18"/>
          <w:szCs w:val="18"/>
        </w:rPr>
        <w:t>Fuente: Elaboración propia (2021).</w:t>
      </w:r>
    </w:p>
    <w:p w14:paraId="4963AAF1" w14:textId="77777777" w:rsidR="00F50D39" w:rsidRPr="00A82308" w:rsidRDefault="00F50D39" w:rsidP="00F50D39">
      <w:pPr>
        <w:spacing w:after="0" w:line="240" w:lineRule="auto"/>
        <w:jc w:val="both"/>
        <w:rPr>
          <w:rFonts w:cs="Arial"/>
          <w:b/>
          <w:bCs/>
          <w:szCs w:val="20"/>
        </w:rPr>
      </w:pPr>
    </w:p>
    <w:p w14:paraId="0FA1BC04" w14:textId="77777777" w:rsidR="00F50D39" w:rsidRPr="009558D1" w:rsidRDefault="00F50D39" w:rsidP="00F50D39">
      <w:pPr>
        <w:spacing w:after="0" w:line="240" w:lineRule="auto"/>
        <w:jc w:val="both"/>
        <w:rPr>
          <w:rFonts w:cs="Arial"/>
          <w:b/>
          <w:bCs/>
          <w:color w:val="000000" w:themeColor="text1"/>
          <w:sz w:val="24"/>
          <w:szCs w:val="24"/>
        </w:rPr>
      </w:pPr>
      <w:r w:rsidRPr="009558D1">
        <w:rPr>
          <w:rFonts w:cs="Arial"/>
          <w:b/>
          <w:bCs/>
          <w:color w:val="000000" w:themeColor="text1"/>
          <w:sz w:val="24"/>
          <w:szCs w:val="24"/>
        </w:rPr>
        <w:t>DISEÑO DEL FILTRO RECHAZO DE BANDA DE 60 HZ.</w:t>
      </w:r>
    </w:p>
    <w:p w14:paraId="4AB69E79" w14:textId="77777777" w:rsidR="00F50D39" w:rsidRDefault="00F50D39" w:rsidP="00F50D39">
      <w:pPr>
        <w:spacing w:after="0" w:line="240" w:lineRule="auto"/>
        <w:jc w:val="both"/>
        <w:rPr>
          <w:rFonts w:cs="Arial"/>
          <w:szCs w:val="20"/>
        </w:rPr>
      </w:pPr>
    </w:p>
    <w:p w14:paraId="5AEA6A90" w14:textId="77777777" w:rsidR="00F50D39" w:rsidRPr="00FC1AB3" w:rsidRDefault="00F50D39" w:rsidP="00F50D39">
      <w:pPr>
        <w:spacing w:after="0" w:line="240" w:lineRule="auto"/>
        <w:jc w:val="both"/>
        <w:rPr>
          <w:rFonts w:cs="Arial"/>
          <w:szCs w:val="20"/>
        </w:rPr>
      </w:pPr>
      <w:r w:rsidRPr="00390179">
        <w:rPr>
          <w:rFonts w:cs="Arial"/>
          <w:szCs w:val="20"/>
        </w:rPr>
        <w:t>Es sabido que la componente de 60 Hz de la línea de alimentación de corriente alterna general</w:t>
      </w:r>
      <w:r>
        <w:rPr>
          <w:rFonts w:cs="Arial"/>
          <w:szCs w:val="20"/>
        </w:rPr>
        <w:t>,</w:t>
      </w:r>
      <w:r w:rsidRPr="00390179">
        <w:rPr>
          <w:rFonts w:cs="Arial"/>
          <w:szCs w:val="20"/>
        </w:rPr>
        <w:t xml:space="preserve"> que tenemos en nuestros hogares</w:t>
      </w:r>
      <w:r>
        <w:rPr>
          <w:rFonts w:cs="Arial"/>
          <w:szCs w:val="20"/>
        </w:rPr>
        <w:t>,</w:t>
      </w:r>
      <w:r w:rsidRPr="00390179">
        <w:rPr>
          <w:rFonts w:cs="Arial"/>
          <w:szCs w:val="20"/>
        </w:rPr>
        <w:t xml:space="preserve"> es una señal que se debe de atenuar para que no afecte a la captación de señales sEMG, por ende, el filtro rechazo de banda de segundo orden que se utiliza es el NOTCH, en la figura </w:t>
      </w:r>
      <w:r>
        <w:rPr>
          <w:rFonts w:cs="Arial"/>
          <w:szCs w:val="20"/>
        </w:rPr>
        <w:t>6</w:t>
      </w:r>
      <w:r w:rsidRPr="00390179">
        <w:rPr>
          <w:rFonts w:cs="Arial"/>
          <w:szCs w:val="20"/>
        </w:rPr>
        <w:t xml:space="preserve"> </w:t>
      </w:r>
      <w:r>
        <w:rPr>
          <w:rFonts w:cs="Arial"/>
          <w:szCs w:val="20"/>
        </w:rPr>
        <w:t>se observa</w:t>
      </w:r>
      <w:r w:rsidRPr="00390179">
        <w:rPr>
          <w:rFonts w:cs="Arial"/>
          <w:szCs w:val="20"/>
        </w:rPr>
        <w:t xml:space="preserve"> el diseño final de este</w:t>
      </w:r>
      <w:r>
        <w:rPr>
          <w:rFonts w:cs="Arial"/>
          <w:szCs w:val="20"/>
        </w:rPr>
        <w:t xml:space="preserve"> y su respuesta en frecuencia, podemos identificar que atenúa -39.165 dB la señal de 59.752 Hz. </w:t>
      </w:r>
      <w:r w:rsidRPr="00FC1AB3">
        <w:rPr>
          <w:rFonts w:cs="Arial"/>
          <w:szCs w:val="20"/>
        </w:rPr>
        <w:t xml:space="preserve">Para este filtro es muy importante utilizar resistencias </w:t>
      </w:r>
      <w:r w:rsidRPr="00FC1AB3">
        <w:rPr>
          <w:rFonts w:cs="Arial"/>
          <w:szCs w:val="20"/>
        </w:rPr>
        <w:lastRenderedPageBreak/>
        <w:t xml:space="preserve">y capacitores con al menos 1% de precisión, </w:t>
      </w:r>
      <w:r>
        <w:rPr>
          <w:rFonts w:cs="Arial"/>
          <w:szCs w:val="20"/>
        </w:rPr>
        <w:t xml:space="preserve">para que corte </w:t>
      </w:r>
      <w:r w:rsidRPr="00FC1AB3">
        <w:rPr>
          <w:rFonts w:cs="Arial"/>
          <w:szCs w:val="20"/>
        </w:rPr>
        <w:t>perfectamente la señal de 60 Hz.  La señal esperada a la salida</w:t>
      </w:r>
      <w:r>
        <w:rPr>
          <w:rFonts w:cs="Arial"/>
          <w:szCs w:val="20"/>
        </w:rPr>
        <w:t xml:space="preserve"> del filtro</w:t>
      </w:r>
      <w:r w:rsidRPr="00FC1AB3">
        <w:rPr>
          <w:rFonts w:cs="Arial"/>
          <w:szCs w:val="20"/>
        </w:rPr>
        <w:t xml:space="preserve"> se </w:t>
      </w:r>
      <w:r>
        <w:rPr>
          <w:rFonts w:cs="Arial"/>
          <w:szCs w:val="20"/>
        </w:rPr>
        <w:t>aprecia</w:t>
      </w:r>
      <w:r w:rsidRPr="00FC1AB3">
        <w:rPr>
          <w:rFonts w:cs="Arial"/>
          <w:szCs w:val="20"/>
        </w:rPr>
        <w:t xml:space="preserve"> en la figura </w:t>
      </w:r>
      <w:r>
        <w:rPr>
          <w:rFonts w:cs="Arial"/>
          <w:szCs w:val="20"/>
        </w:rPr>
        <w:t>6</w:t>
      </w:r>
      <w:r w:rsidRPr="00FC1AB3">
        <w:rPr>
          <w:rFonts w:cs="Arial"/>
          <w:szCs w:val="20"/>
        </w:rPr>
        <w:t>.</w:t>
      </w:r>
    </w:p>
    <w:p w14:paraId="6E06F1A6" w14:textId="77777777" w:rsidR="00F50D39" w:rsidRPr="001B3AB6" w:rsidRDefault="00F50D39" w:rsidP="00F50D39">
      <w:pPr>
        <w:spacing w:after="0" w:line="240" w:lineRule="auto"/>
        <w:jc w:val="center"/>
        <w:rPr>
          <w:rFonts w:cs="Arial"/>
          <w:sz w:val="24"/>
          <w:szCs w:val="24"/>
        </w:rPr>
      </w:pPr>
      <w:r w:rsidRPr="001B3AB6">
        <w:rPr>
          <w:rFonts w:cs="Arial"/>
          <w:noProof/>
          <w:sz w:val="24"/>
          <w:szCs w:val="24"/>
          <w:lang w:eastAsia="es-MX"/>
        </w:rPr>
        <w:drawing>
          <wp:inline distT="0" distB="0" distL="0" distR="0" wp14:anchorId="50093045" wp14:editId="0B8DA867">
            <wp:extent cx="2569393" cy="1676553"/>
            <wp:effectExtent l="57150" t="57150" r="97790" b="9525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593593" cy="169234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Arial"/>
          <w:noProof/>
          <w:sz w:val="24"/>
          <w:szCs w:val="24"/>
          <w:lang w:eastAsia="es-MX"/>
        </w:rPr>
        <w:drawing>
          <wp:inline distT="0" distB="0" distL="0" distR="0" wp14:anchorId="54822905" wp14:editId="206C8819">
            <wp:extent cx="2336236" cy="1478432"/>
            <wp:effectExtent l="0" t="0" r="6985" b="7620"/>
            <wp:docPr id="2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7499" cy="1485560"/>
                    </a:xfrm>
                    <a:prstGeom prst="rect">
                      <a:avLst/>
                    </a:prstGeom>
                    <a:noFill/>
                    <a:ln>
                      <a:noFill/>
                    </a:ln>
                  </pic:spPr>
                </pic:pic>
              </a:graphicData>
            </a:graphic>
          </wp:inline>
        </w:drawing>
      </w:r>
    </w:p>
    <w:p w14:paraId="1B715742" w14:textId="77777777" w:rsidR="00F50D39" w:rsidRPr="00B95AD3" w:rsidRDefault="00F50D39" w:rsidP="00F50D39">
      <w:pPr>
        <w:spacing w:after="0" w:line="240" w:lineRule="auto"/>
        <w:jc w:val="center"/>
        <w:rPr>
          <w:rFonts w:cs="Arial"/>
          <w:b/>
          <w:sz w:val="18"/>
          <w:szCs w:val="18"/>
        </w:rPr>
      </w:pPr>
      <w:r w:rsidRPr="00B95AD3">
        <w:rPr>
          <w:rFonts w:cs="Arial"/>
          <w:b/>
          <w:color w:val="000000" w:themeColor="text1"/>
          <w:sz w:val="18"/>
          <w:szCs w:val="18"/>
        </w:rPr>
        <w:t xml:space="preserve">Figura </w:t>
      </w:r>
      <w:r>
        <w:rPr>
          <w:rFonts w:cs="Arial"/>
          <w:b/>
          <w:color w:val="000000" w:themeColor="text1"/>
          <w:sz w:val="18"/>
          <w:szCs w:val="18"/>
        </w:rPr>
        <w:t>6</w:t>
      </w:r>
      <w:r w:rsidRPr="00B95AD3">
        <w:rPr>
          <w:rFonts w:cs="Arial"/>
          <w:b/>
          <w:color w:val="000000" w:themeColor="text1"/>
          <w:sz w:val="18"/>
          <w:szCs w:val="18"/>
        </w:rPr>
        <w:t xml:space="preserve">. </w:t>
      </w:r>
      <w:r w:rsidRPr="00B95AD3">
        <w:rPr>
          <w:rFonts w:cs="Arial"/>
          <w:b/>
          <w:sz w:val="18"/>
          <w:szCs w:val="18"/>
        </w:rPr>
        <w:t>Filtro rechaza banda de segundo orden de 60 Hz tipo SNOTCH.</w:t>
      </w:r>
    </w:p>
    <w:p w14:paraId="662D2C75" w14:textId="77777777" w:rsidR="00F50D39" w:rsidRPr="00B95AD3" w:rsidRDefault="00F50D39" w:rsidP="00F50D39">
      <w:pPr>
        <w:autoSpaceDE w:val="0"/>
        <w:autoSpaceDN w:val="0"/>
        <w:adjustRightInd w:val="0"/>
        <w:spacing w:after="0" w:line="240" w:lineRule="auto"/>
        <w:rPr>
          <w:rFonts w:cs="Arial"/>
          <w:b/>
          <w:color w:val="000000" w:themeColor="text1"/>
          <w:sz w:val="18"/>
          <w:szCs w:val="18"/>
        </w:rPr>
      </w:pPr>
      <w:r w:rsidRPr="00B95AD3">
        <w:rPr>
          <w:rFonts w:cs="Arial"/>
          <w:b/>
          <w:color w:val="000000" w:themeColor="text1"/>
          <w:sz w:val="18"/>
          <w:szCs w:val="18"/>
        </w:rPr>
        <w:t>Fuente: Elaboración propia (2021).</w:t>
      </w:r>
    </w:p>
    <w:p w14:paraId="6E0F6828" w14:textId="77777777" w:rsidR="00F50D39" w:rsidRPr="009558D1" w:rsidRDefault="00F50D39" w:rsidP="00F50D39">
      <w:pPr>
        <w:autoSpaceDE w:val="0"/>
        <w:autoSpaceDN w:val="0"/>
        <w:adjustRightInd w:val="0"/>
        <w:spacing w:after="0" w:line="240" w:lineRule="auto"/>
        <w:rPr>
          <w:rFonts w:cs="Arial"/>
          <w:b/>
          <w:color w:val="000000" w:themeColor="text1"/>
          <w:szCs w:val="20"/>
        </w:rPr>
      </w:pPr>
    </w:p>
    <w:p w14:paraId="601BB6B3" w14:textId="77777777" w:rsidR="00F50D39" w:rsidRPr="009558D1" w:rsidRDefault="00F50D39" w:rsidP="00F50D39">
      <w:pPr>
        <w:spacing w:after="0" w:line="240" w:lineRule="auto"/>
        <w:jc w:val="both"/>
        <w:rPr>
          <w:rFonts w:cs="Arial"/>
          <w:b/>
          <w:bCs/>
          <w:color w:val="000000" w:themeColor="text1"/>
          <w:sz w:val="24"/>
          <w:szCs w:val="24"/>
        </w:rPr>
      </w:pPr>
      <w:r w:rsidRPr="009558D1">
        <w:rPr>
          <w:rFonts w:cs="Arial"/>
          <w:b/>
          <w:bCs/>
          <w:color w:val="000000" w:themeColor="text1"/>
          <w:sz w:val="24"/>
          <w:szCs w:val="24"/>
        </w:rPr>
        <w:t>AMPLIFICADOR RECTIFICADOR DE PRECISIÓN DE ONDA COMPLETA.</w:t>
      </w:r>
    </w:p>
    <w:p w14:paraId="223CC7B9" w14:textId="77777777" w:rsidR="00F50D39" w:rsidRDefault="00F50D39" w:rsidP="00F50D39">
      <w:pPr>
        <w:spacing w:after="0" w:line="240" w:lineRule="auto"/>
        <w:jc w:val="both"/>
        <w:rPr>
          <w:rFonts w:cs="Arial"/>
          <w:szCs w:val="20"/>
        </w:rPr>
      </w:pPr>
    </w:p>
    <w:p w14:paraId="10C6BDC1" w14:textId="77777777" w:rsidR="00F50D39" w:rsidRDefault="00F50D39" w:rsidP="00F50D39">
      <w:pPr>
        <w:spacing w:after="0" w:line="240" w:lineRule="auto"/>
        <w:jc w:val="both"/>
        <w:rPr>
          <w:rFonts w:cs="Arial"/>
          <w:szCs w:val="20"/>
        </w:rPr>
      </w:pPr>
      <w:r w:rsidRPr="00390179">
        <w:rPr>
          <w:rFonts w:cs="Arial"/>
          <w:szCs w:val="20"/>
        </w:rPr>
        <w:t xml:space="preserve">Las señales sEMG tienen componentes positivos y negativos, como se puede ver en la figura 2a, este rectificador de precisión se implementa para lograr que la señal sEMG tenga solo componentes positivos y lograr posteriormente medirla con un convertidor analógico digital común. En la figura </w:t>
      </w:r>
      <w:r>
        <w:rPr>
          <w:rFonts w:cs="Arial"/>
          <w:szCs w:val="20"/>
        </w:rPr>
        <w:t>7,</w:t>
      </w:r>
      <w:r w:rsidRPr="00390179">
        <w:rPr>
          <w:rFonts w:cs="Arial"/>
          <w:szCs w:val="20"/>
        </w:rPr>
        <w:t xml:space="preserve"> se muestra la configuración seleccionada por su simpleza y gran estabilidad.</w:t>
      </w:r>
    </w:p>
    <w:p w14:paraId="336A5BC6" w14:textId="77777777" w:rsidR="00F50D39" w:rsidRPr="00390179" w:rsidRDefault="00F50D39" w:rsidP="00F50D39">
      <w:pPr>
        <w:spacing w:after="0" w:line="240" w:lineRule="auto"/>
        <w:jc w:val="both"/>
        <w:rPr>
          <w:rFonts w:cs="Arial"/>
          <w:szCs w:val="20"/>
        </w:rPr>
      </w:pPr>
    </w:p>
    <w:p w14:paraId="124F796C" w14:textId="77777777" w:rsidR="00F50D39" w:rsidRPr="001B3AB6" w:rsidRDefault="00F50D39" w:rsidP="00F50D39">
      <w:pPr>
        <w:spacing w:after="0" w:line="240" w:lineRule="auto"/>
        <w:jc w:val="center"/>
        <w:rPr>
          <w:rFonts w:cs="Arial"/>
          <w:b/>
          <w:sz w:val="24"/>
          <w:szCs w:val="24"/>
        </w:rPr>
      </w:pPr>
      <w:r w:rsidRPr="001B3AB6">
        <w:rPr>
          <w:rFonts w:cs="Arial"/>
          <w:b/>
          <w:noProof/>
          <w:sz w:val="24"/>
          <w:szCs w:val="24"/>
          <w:lang w:eastAsia="es-MX"/>
        </w:rPr>
        <w:drawing>
          <wp:inline distT="0" distB="0" distL="0" distR="0" wp14:anchorId="7EADF468" wp14:editId="72862500">
            <wp:extent cx="4276499" cy="2007578"/>
            <wp:effectExtent l="57150" t="57150" r="86360" b="882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304648" cy="202079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F1EA72" w14:textId="77777777" w:rsidR="00F50D39" w:rsidRPr="00B95AD3" w:rsidRDefault="00F50D39" w:rsidP="00F50D39">
      <w:pPr>
        <w:spacing w:after="0" w:line="240" w:lineRule="auto"/>
        <w:jc w:val="center"/>
        <w:rPr>
          <w:rFonts w:cs="Arial"/>
          <w:b/>
          <w:color w:val="000000" w:themeColor="text1"/>
          <w:sz w:val="18"/>
          <w:szCs w:val="18"/>
        </w:rPr>
      </w:pPr>
      <w:r w:rsidRPr="00B95AD3">
        <w:rPr>
          <w:rFonts w:cs="Arial"/>
          <w:b/>
          <w:color w:val="000000" w:themeColor="text1"/>
          <w:sz w:val="18"/>
          <w:szCs w:val="18"/>
        </w:rPr>
        <w:t xml:space="preserve">Figura </w:t>
      </w:r>
      <w:r>
        <w:rPr>
          <w:rFonts w:cs="Arial"/>
          <w:b/>
          <w:color w:val="000000" w:themeColor="text1"/>
          <w:sz w:val="18"/>
          <w:szCs w:val="18"/>
        </w:rPr>
        <w:t>7</w:t>
      </w:r>
      <w:r w:rsidRPr="00B95AD3">
        <w:rPr>
          <w:rFonts w:cs="Arial"/>
          <w:b/>
          <w:color w:val="000000" w:themeColor="text1"/>
          <w:sz w:val="18"/>
          <w:szCs w:val="18"/>
        </w:rPr>
        <w:t>. Amplificador rectificador de precisión de onda completa.</w:t>
      </w:r>
    </w:p>
    <w:p w14:paraId="14BBD276" w14:textId="77777777" w:rsidR="00F50D39" w:rsidRPr="00B95AD3" w:rsidRDefault="00F50D39" w:rsidP="00F50D39">
      <w:pPr>
        <w:autoSpaceDE w:val="0"/>
        <w:autoSpaceDN w:val="0"/>
        <w:adjustRightInd w:val="0"/>
        <w:spacing w:after="0" w:line="240" w:lineRule="auto"/>
        <w:rPr>
          <w:rFonts w:cs="Arial"/>
          <w:b/>
          <w:color w:val="000000" w:themeColor="text1"/>
          <w:sz w:val="18"/>
          <w:szCs w:val="18"/>
        </w:rPr>
      </w:pPr>
      <w:r w:rsidRPr="00B95AD3">
        <w:rPr>
          <w:rFonts w:cs="Arial"/>
          <w:b/>
          <w:color w:val="000000" w:themeColor="text1"/>
          <w:sz w:val="18"/>
          <w:szCs w:val="18"/>
        </w:rPr>
        <w:t>Fuente: Elaboración propia (2021).</w:t>
      </w:r>
    </w:p>
    <w:p w14:paraId="0485B171" w14:textId="77777777" w:rsidR="00F50D39" w:rsidRPr="005775B8" w:rsidRDefault="00F50D39" w:rsidP="00F50D39">
      <w:pPr>
        <w:spacing w:after="0" w:line="240" w:lineRule="auto"/>
        <w:jc w:val="both"/>
        <w:rPr>
          <w:rFonts w:cs="Arial"/>
          <w:sz w:val="18"/>
          <w:szCs w:val="18"/>
        </w:rPr>
      </w:pPr>
    </w:p>
    <w:p w14:paraId="17F4F4D9" w14:textId="77777777" w:rsidR="00F50D39" w:rsidRPr="00FA7E2E" w:rsidRDefault="00F50D39" w:rsidP="00F50D39">
      <w:pPr>
        <w:spacing w:after="0" w:line="240" w:lineRule="auto"/>
        <w:jc w:val="both"/>
        <w:rPr>
          <w:rFonts w:cs="Arial"/>
          <w:szCs w:val="20"/>
        </w:rPr>
      </w:pPr>
      <w:r w:rsidRPr="00FC1AB3">
        <w:rPr>
          <w:rFonts w:cs="Arial"/>
          <w:szCs w:val="20"/>
        </w:rPr>
        <w:t>Debido a que cada persona presenta una variación en sus niveles de voltaje y el montaje de los sensores secos también afecta en la captación de las señales sEMG, la opción de poder tener una ganancia a la salida del rectificador de precisión</w:t>
      </w:r>
      <w:r>
        <w:rPr>
          <w:rFonts w:cs="Arial"/>
          <w:szCs w:val="20"/>
        </w:rPr>
        <w:t>,</w:t>
      </w:r>
      <w:r w:rsidRPr="00FC1AB3">
        <w:rPr>
          <w:rFonts w:cs="Arial"/>
          <w:szCs w:val="20"/>
        </w:rPr>
        <w:t xml:space="preserve"> se implementó para ajustar los niveles de voltajes deseados con un sencillo amplificador no inversor con ganancia de 1 a 25.</w:t>
      </w:r>
      <w:r>
        <w:rPr>
          <w:rFonts w:cs="Arial"/>
          <w:szCs w:val="20"/>
        </w:rPr>
        <w:t xml:space="preserve"> </w:t>
      </w:r>
      <w:r w:rsidRPr="00FC1AB3">
        <w:rPr>
          <w:rFonts w:cs="Arial"/>
          <w:szCs w:val="20"/>
        </w:rPr>
        <w:t xml:space="preserve">La señal que se espera a la salida de esta etapa se muestra en la figura </w:t>
      </w:r>
      <w:r>
        <w:rPr>
          <w:rFonts w:cs="Arial"/>
          <w:szCs w:val="20"/>
        </w:rPr>
        <w:t>8</w:t>
      </w:r>
      <w:r w:rsidRPr="00FC1AB3">
        <w:rPr>
          <w:rFonts w:cs="Arial"/>
          <w:szCs w:val="20"/>
        </w:rPr>
        <w:t xml:space="preserve"> (MyoWare, </w:t>
      </w:r>
      <w:r w:rsidRPr="00DA0CF3">
        <w:rPr>
          <w:rFonts w:cs="Arial"/>
          <w:szCs w:val="20"/>
        </w:rPr>
        <w:t>2015).</w:t>
      </w:r>
    </w:p>
    <w:p w14:paraId="2B61F689" w14:textId="77777777" w:rsidR="00F50D39" w:rsidRPr="001B3AB6" w:rsidRDefault="00F50D39" w:rsidP="00F50D39">
      <w:pPr>
        <w:spacing w:after="0" w:line="240" w:lineRule="auto"/>
        <w:jc w:val="center"/>
        <w:rPr>
          <w:rFonts w:cs="Arial"/>
          <w:sz w:val="24"/>
          <w:szCs w:val="24"/>
        </w:rPr>
      </w:pPr>
      <w:r w:rsidRPr="001B3AB6">
        <w:rPr>
          <w:rFonts w:cs="Arial"/>
          <w:noProof/>
          <w:sz w:val="24"/>
          <w:szCs w:val="24"/>
          <w:lang w:eastAsia="es-MX"/>
        </w:rPr>
        <w:lastRenderedPageBreak/>
        <w:drawing>
          <wp:inline distT="0" distB="0" distL="0" distR="0" wp14:anchorId="1F466E82" wp14:editId="6C0A2E4A">
            <wp:extent cx="2179013" cy="2359085"/>
            <wp:effectExtent l="57150" t="57150" r="88265" b="98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94955" cy="23763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3BA71B" w14:textId="77777777" w:rsidR="00F50D39" w:rsidRPr="00B95AD3" w:rsidRDefault="00F50D39" w:rsidP="00F50D39">
      <w:pPr>
        <w:spacing w:after="0" w:line="240" w:lineRule="auto"/>
        <w:jc w:val="center"/>
        <w:rPr>
          <w:rFonts w:cs="Arial"/>
          <w:b/>
          <w:color w:val="000000" w:themeColor="text1"/>
          <w:sz w:val="18"/>
          <w:szCs w:val="18"/>
        </w:rPr>
      </w:pPr>
      <w:r w:rsidRPr="00B95AD3">
        <w:rPr>
          <w:rFonts w:cs="Arial"/>
          <w:b/>
          <w:color w:val="000000" w:themeColor="text1"/>
          <w:sz w:val="18"/>
          <w:szCs w:val="18"/>
        </w:rPr>
        <w:t xml:space="preserve">Figura </w:t>
      </w:r>
      <w:r>
        <w:rPr>
          <w:rFonts w:cs="Arial"/>
          <w:b/>
          <w:color w:val="000000" w:themeColor="text1"/>
          <w:sz w:val="18"/>
          <w:szCs w:val="18"/>
        </w:rPr>
        <w:t>8</w:t>
      </w:r>
      <w:r w:rsidRPr="00B95AD3">
        <w:rPr>
          <w:rFonts w:cs="Arial"/>
          <w:b/>
          <w:color w:val="000000" w:themeColor="text1"/>
          <w:sz w:val="18"/>
          <w:szCs w:val="18"/>
        </w:rPr>
        <w:t xml:space="preserve">. </w:t>
      </w:r>
      <w:r w:rsidRPr="00B95AD3">
        <w:rPr>
          <w:rFonts w:cs="Arial"/>
          <w:b/>
          <w:sz w:val="18"/>
          <w:szCs w:val="18"/>
        </w:rPr>
        <w:t>a) Señal sEMG esperada y medida después del filtro pasa bandas y filtro rechazo de banda. b) Señal sEMG esperada y medida a la salida del rectifica</w:t>
      </w:r>
      <w:r w:rsidRPr="00B95AD3">
        <w:rPr>
          <w:rFonts w:cs="Arial"/>
          <w:b/>
          <w:color w:val="000000" w:themeColor="text1"/>
          <w:sz w:val="18"/>
          <w:szCs w:val="18"/>
        </w:rPr>
        <w:t>dor de precisión de onda completa.</w:t>
      </w:r>
    </w:p>
    <w:p w14:paraId="53869FA2" w14:textId="77777777" w:rsidR="00F50D39" w:rsidRPr="00B95AD3" w:rsidRDefault="00F50D39" w:rsidP="00F50D39">
      <w:pPr>
        <w:autoSpaceDE w:val="0"/>
        <w:autoSpaceDN w:val="0"/>
        <w:adjustRightInd w:val="0"/>
        <w:spacing w:after="0" w:line="240" w:lineRule="auto"/>
        <w:rPr>
          <w:rFonts w:cs="Arial"/>
          <w:b/>
          <w:color w:val="000000" w:themeColor="text1"/>
          <w:sz w:val="18"/>
          <w:szCs w:val="18"/>
        </w:rPr>
      </w:pPr>
      <w:r w:rsidRPr="00B95AD3">
        <w:rPr>
          <w:rFonts w:cs="Arial"/>
          <w:b/>
          <w:color w:val="000000" w:themeColor="text1"/>
          <w:sz w:val="18"/>
          <w:szCs w:val="18"/>
        </w:rPr>
        <w:t>Fuente: MyoWare (2015).</w:t>
      </w:r>
    </w:p>
    <w:p w14:paraId="6EA6E81C" w14:textId="77777777" w:rsidR="00F50D39" w:rsidRDefault="00F50D39" w:rsidP="00F50D39">
      <w:pPr>
        <w:autoSpaceDE w:val="0"/>
        <w:autoSpaceDN w:val="0"/>
        <w:adjustRightInd w:val="0"/>
        <w:spacing w:after="0" w:line="240" w:lineRule="auto"/>
        <w:rPr>
          <w:rFonts w:cs="Arial"/>
          <w:bCs/>
          <w:color w:val="000000" w:themeColor="text1"/>
          <w:szCs w:val="20"/>
        </w:rPr>
      </w:pPr>
    </w:p>
    <w:p w14:paraId="782875DC" w14:textId="77777777" w:rsidR="00F50D39" w:rsidRPr="00B95AD3" w:rsidRDefault="00F50D39" w:rsidP="00F50D39">
      <w:pPr>
        <w:autoSpaceDE w:val="0"/>
        <w:autoSpaceDN w:val="0"/>
        <w:adjustRightInd w:val="0"/>
        <w:spacing w:after="0" w:line="240" w:lineRule="auto"/>
        <w:rPr>
          <w:rFonts w:cs="Arial"/>
          <w:bCs/>
          <w:color w:val="000000" w:themeColor="text1"/>
          <w:szCs w:val="20"/>
        </w:rPr>
      </w:pPr>
    </w:p>
    <w:p w14:paraId="433E778D" w14:textId="77777777" w:rsidR="00F50D39" w:rsidRPr="009558D1" w:rsidRDefault="00F50D39" w:rsidP="00F50D39">
      <w:pPr>
        <w:spacing w:after="0" w:line="240" w:lineRule="auto"/>
        <w:jc w:val="both"/>
        <w:rPr>
          <w:rFonts w:cs="Arial"/>
          <w:b/>
          <w:bCs/>
          <w:color w:val="0070C0"/>
          <w:sz w:val="24"/>
          <w:szCs w:val="24"/>
        </w:rPr>
      </w:pPr>
      <w:r w:rsidRPr="009558D1">
        <w:rPr>
          <w:rFonts w:cs="Arial"/>
          <w:b/>
          <w:bCs/>
          <w:color w:val="000000" w:themeColor="text1"/>
          <w:sz w:val="24"/>
          <w:szCs w:val="24"/>
        </w:rPr>
        <w:t>CIRCUITO SUAVIZADOR Y REGULADOR DE 5V.</w:t>
      </w:r>
    </w:p>
    <w:p w14:paraId="4E7D3529" w14:textId="77777777" w:rsidR="00F50D39" w:rsidRDefault="00F50D39" w:rsidP="00F50D39">
      <w:pPr>
        <w:spacing w:after="0" w:line="240" w:lineRule="auto"/>
        <w:jc w:val="both"/>
        <w:rPr>
          <w:rFonts w:cs="Arial"/>
          <w:szCs w:val="20"/>
        </w:rPr>
      </w:pPr>
    </w:p>
    <w:p w14:paraId="346D570A" w14:textId="77777777" w:rsidR="00F50D39" w:rsidRPr="00FC1AB3" w:rsidRDefault="00F50D39" w:rsidP="00F50D39">
      <w:pPr>
        <w:spacing w:after="0" w:line="240" w:lineRule="auto"/>
        <w:jc w:val="both"/>
        <w:rPr>
          <w:rFonts w:cs="Arial"/>
          <w:szCs w:val="20"/>
        </w:rPr>
      </w:pPr>
      <w:r w:rsidRPr="00FC1AB3">
        <w:rPr>
          <w:rFonts w:cs="Arial"/>
          <w:szCs w:val="20"/>
        </w:rPr>
        <w:t xml:space="preserve">La etapa final de este acondicionamiento de señal se encarga de entregarnos prácticamente un nivel de </w:t>
      </w:r>
      <w:r>
        <w:rPr>
          <w:rFonts w:cs="Arial"/>
          <w:szCs w:val="20"/>
        </w:rPr>
        <w:t>corriente directa (DC)</w:t>
      </w:r>
      <w:r w:rsidRPr="00FC1AB3">
        <w:rPr>
          <w:rFonts w:cs="Arial"/>
          <w:szCs w:val="20"/>
        </w:rPr>
        <w:t xml:space="preserve"> correspondiente a la intensidad de la fuerza de contracción aplicada a los músculos. Está compuesta por un rectificador con un diodo Schottky y un filtro pasivo con un capacitor electrolítico y una resistencia pequeña de carga para acelerar la respuesta a la descarga del capacitor. En la figura </w:t>
      </w:r>
      <w:r>
        <w:rPr>
          <w:rFonts w:cs="Arial"/>
          <w:szCs w:val="20"/>
        </w:rPr>
        <w:t>9</w:t>
      </w:r>
      <w:r w:rsidRPr="00FC1AB3">
        <w:rPr>
          <w:rFonts w:cs="Arial"/>
          <w:szCs w:val="20"/>
        </w:rPr>
        <w:t xml:space="preserve"> se puede ver </w:t>
      </w:r>
      <w:r>
        <w:rPr>
          <w:rFonts w:cs="Arial"/>
          <w:szCs w:val="20"/>
        </w:rPr>
        <w:t>e</w:t>
      </w:r>
      <w:r w:rsidRPr="00FC1AB3">
        <w:rPr>
          <w:rFonts w:cs="Arial"/>
          <w:szCs w:val="20"/>
        </w:rPr>
        <w:t>l circuito final de esta etapa.</w:t>
      </w:r>
    </w:p>
    <w:p w14:paraId="61B0D8BF" w14:textId="77777777" w:rsidR="00F50D39" w:rsidRPr="001B3AB6" w:rsidRDefault="00F50D39" w:rsidP="00F50D39">
      <w:pPr>
        <w:spacing w:after="0" w:line="240" w:lineRule="auto"/>
        <w:jc w:val="center"/>
        <w:rPr>
          <w:rFonts w:cs="Arial"/>
          <w:sz w:val="24"/>
          <w:szCs w:val="24"/>
        </w:rPr>
      </w:pPr>
      <w:r w:rsidRPr="001B3AB6">
        <w:rPr>
          <w:rFonts w:cs="Arial"/>
          <w:noProof/>
          <w:sz w:val="24"/>
          <w:szCs w:val="24"/>
          <w:lang w:eastAsia="es-MX"/>
        </w:rPr>
        <w:drawing>
          <wp:inline distT="0" distB="0" distL="0" distR="0" wp14:anchorId="5D9ECE82" wp14:editId="3065345C">
            <wp:extent cx="3565781" cy="1370874"/>
            <wp:effectExtent l="57150" t="57150" r="92075" b="96520"/>
            <wp:docPr id="2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579507" cy="137615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78077A" w14:textId="77777777" w:rsidR="00F50D39" w:rsidRPr="00B95AD3" w:rsidRDefault="00F50D39" w:rsidP="00F50D39">
      <w:pPr>
        <w:spacing w:after="0" w:line="240" w:lineRule="auto"/>
        <w:jc w:val="center"/>
        <w:rPr>
          <w:rFonts w:cs="Arial"/>
          <w:b/>
          <w:color w:val="000000" w:themeColor="text1"/>
          <w:sz w:val="18"/>
          <w:szCs w:val="18"/>
        </w:rPr>
      </w:pPr>
      <w:r w:rsidRPr="00B95AD3">
        <w:rPr>
          <w:rFonts w:cs="Arial"/>
          <w:b/>
          <w:color w:val="000000" w:themeColor="text1"/>
          <w:sz w:val="18"/>
          <w:szCs w:val="18"/>
        </w:rPr>
        <w:t xml:space="preserve">Figura </w:t>
      </w:r>
      <w:r>
        <w:rPr>
          <w:rFonts w:cs="Arial"/>
          <w:b/>
          <w:color w:val="000000" w:themeColor="text1"/>
          <w:sz w:val="18"/>
          <w:szCs w:val="18"/>
        </w:rPr>
        <w:t>9</w:t>
      </w:r>
      <w:r w:rsidRPr="00B95AD3">
        <w:rPr>
          <w:rFonts w:cs="Arial"/>
          <w:b/>
          <w:color w:val="000000" w:themeColor="text1"/>
          <w:sz w:val="18"/>
          <w:szCs w:val="18"/>
        </w:rPr>
        <w:t>. Circuito suavizador activo con regulador de voltaje de 5 V.</w:t>
      </w:r>
    </w:p>
    <w:p w14:paraId="0FC3C956" w14:textId="77777777" w:rsidR="00F50D39" w:rsidRPr="00B95AD3" w:rsidRDefault="00F50D39" w:rsidP="00F50D39">
      <w:pPr>
        <w:autoSpaceDE w:val="0"/>
        <w:autoSpaceDN w:val="0"/>
        <w:adjustRightInd w:val="0"/>
        <w:spacing w:after="0" w:line="240" w:lineRule="auto"/>
        <w:rPr>
          <w:rFonts w:cs="Arial"/>
          <w:b/>
          <w:color w:val="1C77A1"/>
          <w:sz w:val="18"/>
          <w:szCs w:val="18"/>
        </w:rPr>
      </w:pPr>
      <w:r w:rsidRPr="00B95AD3">
        <w:rPr>
          <w:rFonts w:cs="Arial"/>
          <w:b/>
          <w:color w:val="000000" w:themeColor="text1"/>
          <w:sz w:val="18"/>
          <w:szCs w:val="18"/>
        </w:rPr>
        <w:t>Fuente: Elaboración propia (2021).</w:t>
      </w:r>
    </w:p>
    <w:p w14:paraId="650F9EF0" w14:textId="77777777" w:rsidR="00F50D39" w:rsidRDefault="00F50D39" w:rsidP="00F50D39">
      <w:pPr>
        <w:spacing w:after="0" w:line="240" w:lineRule="auto"/>
        <w:jc w:val="both"/>
        <w:rPr>
          <w:rFonts w:cs="Arial"/>
          <w:szCs w:val="20"/>
        </w:rPr>
      </w:pPr>
    </w:p>
    <w:p w14:paraId="23514DF5" w14:textId="77777777" w:rsidR="00F50D39" w:rsidRPr="005B702E" w:rsidRDefault="00F50D39" w:rsidP="00F50D39">
      <w:pPr>
        <w:spacing w:after="0" w:line="240" w:lineRule="auto"/>
        <w:jc w:val="both"/>
        <w:rPr>
          <w:rFonts w:cs="Arial"/>
          <w:szCs w:val="20"/>
        </w:rPr>
      </w:pPr>
      <w:r w:rsidRPr="005B702E">
        <w:rPr>
          <w:rFonts w:cs="Arial"/>
          <w:szCs w:val="20"/>
        </w:rPr>
        <w:t xml:space="preserve">Como se puede apreciar, al final del suavizador se colocó un regulador Zener de 5v, el cual sirve de protección contra sobre voltajes que se pudieran generar y dañar el convertidor analógico a digital. La señal que se espera como salida final se puede observar en la figura </w:t>
      </w:r>
      <w:r>
        <w:rPr>
          <w:rFonts w:cs="Arial"/>
          <w:szCs w:val="20"/>
        </w:rPr>
        <w:t>10</w:t>
      </w:r>
      <w:r w:rsidRPr="005B702E">
        <w:rPr>
          <w:rFonts w:cs="Arial"/>
          <w:szCs w:val="20"/>
        </w:rPr>
        <w:t>, comparada con la señal de salida del rectificador de precisión.</w:t>
      </w:r>
    </w:p>
    <w:p w14:paraId="012871A5" w14:textId="77777777" w:rsidR="00F50D39" w:rsidRPr="001B3AB6" w:rsidRDefault="00F50D39" w:rsidP="00F50D39">
      <w:pPr>
        <w:tabs>
          <w:tab w:val="left" w:pos="7230"/>
        </w:tabs>
        <w:spacing w:after="0" w:line="240" w:lineRule="auto"/>
        <w:jc w:val="center"/>
        <w:rPr>
          <w:rFonts w:cs="Arial"/>
          <w:sz w:val="24"/>
          <w:szCs w:val="24"/>
        </w:rPr>
      </w:pPr>
      <w:r w:rsidRPr="001B3AB6">
        <w:rPr>
          <w:rFonts w:cs="Arial"/>
          <w:noProof/>
          <w:sz w:val="24"/>
          <w:szCs w:val="24"/>
          <w:lang w:eastAsia="es-MX"/>
        </w:rPr>
        <w:lastRenderedPageBreak/>
        <w:drawing>
          <wp:inline distT="0" distB="0" distL="0" distR="0" wp14:anchorId="35966CD0" wp14:editId="66D934A9">
            <wp:extent cx="2573375" cy="1262860"/>
            <wp:effectExtent l="57150" t="57150" r="113030" b="109220"/>
            <wp:docPr id="2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590337" cy="127118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9C7EEB" w14:textId="77777777" w:rsidR="00F50D39" w:rsidRPr="00B95AD3" w:rsidRDefault="00F50D39" w:rsidP="00F50D39">
      <w:pPr>
        <w:spacing w:after="0" w:line="240" w:lineRule="auto"/>
        <w:jc w:val="center"/>
        <w:rPr>
          <w:rFonts w:cs="Arial"/>
          <w:b/>
          <w:sz w:val="18"/>
          <w:szCs w:val="18"/>
        </w:rPr>
      </w:pPr>
      <w:r w:rsidRPr="00B95AD3">
        <w:rPr>
          <w:rFonts w:cs="Arial"/>
          <w:b/>
          <w:sz w:val="18"/>
          <w:szCs w:val="18"/>
        </w:rPr>
        <w:t xml:space="preserve">Figura </w:t>
      </w:r>
      <w:r>
        <w:rPr>
          <w:rFonts w:cs="Arial"/>
          <w:b/>
          <w:sz w:val="18"/>
          <w:szCs w:val="18"/>
        </w:rPr>
        <w:t>10</w:t>
      </w:r>
      <w:r w:rsidRPr="00B95AD3">
        <w:rPr>
          <w:rFonts w:cs="Arial"/>
          <w:b/>
          <w:sz w:val="18"/>
          <w:szCs w:val="18"/>
        </w:rPr>
        <w:t>. Señal de salida esperada de la tarjeta de acondicionamiento de señal sEMG.</w:t>
      </w:r>
    </w:p>
    <w:p w14:paraId="19BDA4CA" w14:textId="77777777" w:rsidR="00F50D39" w:rsidRPr="00B95AD3" w:rsidRDefault="00F50D39" w:rsidP="00F50D39">
      <w:pPr>
        <w:autoSpaceDE w:val="0"/>
        <w:autoSpaceDN w:val="0"/>
        <w:adjustRightInd w:val="0"/>
        <w:spacing w:after="0" w:line="240" w:lineRule="auto"/>
        <w:rPr>
          <w:rFonts w:cs="Arial"/>
          <w:b/>
          <w:sz w:val="18"/>
          <w:szCs w:val="18"/>
        </w:rPr>
      </w:pPr>
      <w:r w:rsidRPr="00B95AD3">
        <w:rPr>
          <w:rFonts w:cs="Arial"/>
          <w:b/>
          <w:sz w:val="18"/>
          <w:szCs w:val="18"/>
        </w:rPr>
        <w:t>Fuente: Elaboración propia con base MyoWare (2015).</w:t>
      </w:r>
    </w:p>
    <w:p w14:paraId="1B6786D4" w14:textId="77777777" w:rsidR="00F50D39" w:rsidRPr="009558D1" w:rsidRDefault="00F50D39" w:rsidP="00F50D39">
      <w:pPr>
        <w:autoSpaceDE w:val="0"/>
        <w:autoSpaceDN w:val="0"/>
        <w:adjustRightInd w:val="0"/>
        <w:spacing w:after="0" w:line="240" w:lineRule="auto"/>
        <w:rPr>
          <w:rFonts w:cs="Arial"/>
          <w:b/>
          <w:szCs w:val="20"/>
        </w:rPr>
      </w:pPr>
    </w:p>
    <w:p w14:paraId="6DAC4001" w14:textId="77777777" w:rsidR="00F50D39" w:rsidRPr="009558D1" w:rsidRDefault="00F50D39" w:rsidP="00F50D39">
      <w:pPr>
        <w:spacing w:after="0" w:line="240" w:lineRule="auto"/>
        <w:rPr>
          <w:rFonts w:cs="Arial"/>
          <w:b/>
          <w:sz w:val="24"/>
          <w:szCs w:val="24"/>
        </w:rPr>
      </w:pPr>
      <w:r>
        <w:rPr>
          <w:rFonts w:cs="Arial"/>
          <w:b/>
          <w:sz w:val="24"/>
          <w:szCs w:val="24"/>
        </w:rPr>
        <w:t xml:space="preserve">DISCUSIÓN DE </w:t>
      </w:r>
      <w:r w:rsidRPr="009558D1">
        <w:rPr>
          <w:rFonts w:cs="Arial"/>
          <w:b/>
          <w:sz w:val="24"/>
          <w:szCs w:val="24"/>
        </w:rPr>
        <w:t>RESULTADOS</w:t>
      </w:r>
    </w:p>
    <w:p w14:paraId="0420456A" w14:textId="77777777" w:rsidR="00F50D39" w:rsidRDefault="00F50D39" w:rsidP="00F50D39">
      <w:pPr>
        <w:spacing w:after="0" w:line="240" w:lineRule="auto"/>
        <w:jc w:val="both"/>
        <w:rPr>
          <w:rFonts w:cs="Arial"/>
          <w:szCs w:val="20"/>
        </w:rPr>
      </w:pPr>
    </w:p>
    <w:p w14:paraId="6513A3AF" w14:textId="77777777" w:rsidR="00F50D39" w:rsidRPr="005B702E" w:rsidRDefault="00F50D39" w:rsidP="00F50D39">
      <w:pPr>
        <w:spacing w:after="0" w:line="240" w:lineRule="auto"/>
        <w:jc w:val="both"/>
        <w:rPr>
          <w:rFonts w:cs="Arial"/>
          <w:szCs w:val="20"/>
        </w:rPr>
      </w:pPr>
      <w:r w:rsidRPr="005B702E">
        <w:rPr>
          <w:rFonts w:cs="Arial"/>
          <w:szCs w:val="20"/>
        </w:rPr>
        <w:t>El diseño en PCB de la tarjeta de acondicionamiento de señal sEMG se puede ver en la figura 1</w:t>
      </w:r>
      <w:r>
        <w:rPr>
          <w:rFonts w:cs="Arial"/>
          <w:szCs w:val="20"/>
        </w:rPr>
        <w:t>1</w:t>
      </w:r>
      <w:r w:rsidRPr="005B702E">
        <w:rPr>
          <w:rFonts w:cs="Arial"/>
          <w:szCs w:val="20"/>
        </w:rPr>
        <w:t xml:space="preserve">. </w:t>
      </w:r>
    </w:p>
    <w:p w14:paraId="3D7B68E9" w14:textId="77777777" w:rsidR="00F50D39" w:rsidRPr="001B3AB6" w:rsidRDefault="00F50D39" w:rsidP="00F50D39">
      <w:pPr>
        <w:spacing w:after="0" w:line="240" w:lineRule="auto"/>
        <w:jc w:val="center"/>
        <w:rPr>
          <w:rFonts w:cs="Arial"/>
          <w:sz w:val="24"/>
          <w:szCs w:val="24"/>
        </w:rPr>
      </w:pPr>
      <w:r w:rsidRPr="001B3AB6">
        <w:rPr>
          <w:rFonts w:cs="Arial"/>
          <w:noProof/>
          <w:sz w:val="24"/>
          <w:szCs w:val="24"/>
          <w:lang w:eastAsia="es-MX"/>
        </w:rPr>
        <w:drawing>
          <wp:inline distT="0" distB="0" distL="0" distR="0" wp14:anchorId="35C63413" wp14:editId="0FC8A056">
            <wp:extent cx="2360295" cy="1550032"/>
            <wp:effectExtent l="57150" t="57150" r="97155" b="889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3119" cy="155845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74818B" w14:textId="77777777" w:rsidR="00F50D39" w:rsidRPr="00B95AD3" w:rsidRDefault="00F50D39" w:rsidP="00F50D39">
      <w:pPr>
        <w:spacing w:after="0" w:line="240" w:lineRule="auto"/>
        <w:jc w:val="center"/>
        <w:rPr>
          <w:rFonts w:cs="Arial"/>
          <w:b/>
          <w:sz w:val="18"/>
          <w:szCs w:val="18"/>
        </w:rPr>
      </w:pPr>
      <w:r w:rsidRPr="00B95AD3">
        <w:rPr>
          <w:rFonts w:cs="Arial"/>
          <w:b/>
          <w:sz w:val="18"/>
          <w:szCs w:val="18"/>
        </w:rPr>
        <w:t>Figura 1</w:t>
      </w:r>
      <w:r>
        <w:rPr>
          <w:rFonts w:cs="Arial"/>
          <w:b/>
          <w:sz w:val="18"/>
          <w:szCs w:val="18"/>
        </w:rPr>
        <w:t>1</w:t>
      </w:r>
      <w:r w:rsidRPr="00B95AD3">
        <w:rPr>
          <w:rFonts w:cs="Arial"/>
          <w:b/>
          <w:sz w:val="18"/>
          <w:szCs w:val="18"/>
        </w:rPr>
        <w:t>. Diseño PCB de la Tarjeta sEMG.</w:t>
      </w:r>
    </w:p>
    <w:p w14:paraId="0A9A959B" w14:textId="77777777" w:rsidR="00F50D39" w:rsidRPr="00B95AD3" w:rsidRDefault="00F50D39" w:rsidP="00F50D39">
      <w:pPr>
        <w:autoSpaceDE w:val="0"/>
        <w:autoSpaceDN w:val="0"/>
        <w:adjustRightInd w:val="0"/>
        <w:spacing w:after="0" w:line="240" w:lineRule="auto"/>
        <w:rPr>
          <w:rFonts w:cs="Arial"/>
          <w:b/>
          <w:color w:val="000000" w:themeColor="text1"/>
          <w:sz w:val="18"/>
          <w:szCs w:val="18"/>
        </w:rPr>
      </w:pPr>
      <w:r w:rsidRPr="00B95AD3">
        <w:rPr>
          <w:rFonts w:cs="Arial"/>
          <w:b/>
          <w:color w:val="000000" w:themeColor="text1"/>
          <w:sz w:val="18"/>
          <w:szCs w:val="18"/>
        </w:rPr>
        <w:t>Fuente: Elaboración propia (2021).</w:t>
      </w:r>
    </w:p>
    <w:p w14:paraId="676A0232" w14:textId="77777777" w:rsidR="00F50D39" w:rsidRPr="00E20DE7" w:rsidRDefault="00F50D39" w:rsidP="00F50D39">
      <w:pPr>
        <w:autoSpaceDE w:val="0"/>
        <w:autoSpaceDN w:val="0"/>
        <w:adjustRightInd w:val="0"/>
        <w:spacing w:after="0" w:line="240" w:lineRule="auto"/>
        <w:rPr>
          <w:rFonts w:cs="Arial"/>
          <w:bCs/>
          <w:color w:val="000000" w:themeColor="text1"/>
          <w:szCs w:val="20"/>
        </w:rPr>
      </w:pPr>
    </w:p>
    <w:p w14:paraId="68E31C6A" w14:textId="77777777" w:rsidR="00F50D39" w:rsidRDefault="00F50D39" w:rsidP="00F50D39">
      <w:pPr>
        <w:spacing w:after="0" w:line="240" w:lineRule="auto"/>
        <w:jc w:val="both"/>
        <w:rPr>
          <w:rFonts w:cs="Arial"/>
          <w:noProof/>
          <w:sz w:val="24"/>
          <w:szCs w:val="24"/>
          <w:lang w:eastAsia="es-MX"/>
        </w:rPr>
      </w:pPr>
      <w:r w:rsidRPr="00FC1AB3">
        <w:rPr>
          <w:rFonts w:cs="Arial"/>
          <w:szCs w:val="20"/>
        </w:rPr>
        <w:t>La tarjeta de acondicionamiento de señal sEMG (se muestra en la figura 1</w:t>
      </w:r>
      <w:r>
        <w:rPr>
          <w:rFonts w:cs="Arial"/>
          <w:szCs w:val="20"/>
        </w:rPr>
        <w:t>2</w:t>
      </w:r>
      <w:r w:rsidRPr="00FC1AB3">
        <w:rPr>
          <w:rFonts w:cs="Arial"/>
          <w:szCs w:val="20"/>
        </w:rPr>
        <w:t>) tiene puntos de salida en el filtro rechazo de banda, en la salida el rectificador de precisión y en el suavizador final.  Con la tarjeta de acondicionamiento de</w:t>
      </w:r>
      <w:r>
        <w:rPr>
          <w:rFonts w:cs="Arial"/>
          <w:szCs w:val="20"/>
        </w:rPr>
        <w:t xml:space="preserve"> </w:t>
      </w:r>
      <w:r w:rsidRPr="00FC1AB3">
        <w:rPr>
          <w:rFonts w:cs="Arial"/>
          <w:szCs w:val="20"/>
        </w:rPr>
        <w:t xml:space="preserve">señales sEMG </w:t>
      </w:r>
      <w:r w:rsidRPr="000C3CA4">
        <w:rPr>
          <w:rFonts w:cs="Arial"/>
          <w:szCs w:val="20"/>
        </w:rPr>
        <w:t>diseñada, se midieron los potenciales de los</w:t>
      </w:r>
      <w:r>
        <w:rPr>
          <w:rFonts w:cs="Arial"/>
          <w:szCs w:val="20"/>
        </w:rPr>
        <w:t xml:space="preserve"> músculos de los antebrazos, de</w:t>
      </w:r>
      <w:r w:rsidRPr="000C3CA4">
        <w:rPr>
          <w:rFonts w:cs="Arial"/>
          <w:szCs w:val="20"/>
        </w:rPr>
        <w:t xml:space="preserve"> los bíceps y tríceps</w:t>
      </w:r>
      <w:r>
        <w:rPr>
          <w:rFonts w:cs="Arial"/>
          <w:szCs w:val="20"/>
        </w:rPr>
        <w:t>.</w:t>
      </w:r>
      <w:r w:rsidRPr="001B3AB6">
        <w:rPr>
          <w:rFonts w:cs="Arial"/>
          <w:noProof/>
          <w:sz w:val="24"/>
          <w:szCs w:val="24"/>
          <w:lang w:eastAsia="es-MX"/>
        </w:rPr>
        <w:t xml:space="preserve"> </w:t>
      </w:r>
    </w:p>
    <w:p w14:paraId="6BC6100E" w14:textId="77777777" w:rsidR="00F50D39" w:rsidRPr="00E20DE7" w:rsidRDefault="00F50D39" w:rsidP="00F50D39">
      <w:pPr>
        <w:spacing w:after="0" w:line="240" w:lineRule="auto"/>
        <w:jc w:val="center"/>
        <w:rPr>
          <w:rFonts w:cs="Arial"/>
          <w:szCs w:val="20"/>
        </w:rPr>
      </w:pPr>
      <w:r w:rsidRPr="001B3AB6">
        <w:rPr>
          <w:rFonts w:cs="Arial"/>
          <w:noProof/>
          <w:sz w:val="24"/>
          <w:szCs w:val="24"/>
          <w:lang w:eastAsia="es-MX"/>
        </w:rPr>
        <w:drawing>
          <wp:inline distT="0" distB="0" distL="0" distR="0" wp14:anchorId="1EBBB825" wp14:editId="2294200F">
            <wp:extent cx="2226545" cy="1533525"/>
            <wp:effectExtent l="19050" t="19050" r="2159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 r="1179"/>
                    <a:stretch/>
                  </pic:blipFill>
                  <pic:spPr bwMode="auto">
                    <a:xfrm>
                      <a:off x="0" y="0"/>
                      <a:ext cx="2235550" cy="153972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62EB77" w14:textId="77777777" w:rsidR="00F50D39" w:rsidRPr="00B95AD3" w:rsidRDefault="00F50D39" w:rsidP="00F50D39">
      <w:pPr>
        <w:spacing w:after="0" w:line="240" w:lineRule="auto"/>
        <w:jc w:val="center"/>
        <w:rPr>
          <w:rFonts w:cs="Arial"/>
          <w:b/>
          <w:color w:val="000000" w:themeColor="text1"/>
          <w:sz w:val="18"/>
          <w:szCs w:val="18"/>
        </w:rPr>
      </w:pPr>
      <w:r w:rsidRPr="00B95AD3">
        <w:rPr>
          <w:rFonts w:cs="Arial"/>
          <w:b/>
          <w:color w:val="000000" w:themeColor="text1"/>
          <w:sz w:val="18"/>
          <w:szCs w:val="18"/>
        </w:rPr>
        <w:t>Figura 1</w:t>
      </w:r>
      <w:r>
        <w:rPr>
          <w:rFonts w:cs="Arial"/>
          <w:b/>
          <w:color w:val="000000" w:themeColor="text1"/>
          <w:sz w:val="18"/>
          <w:szCs w:val="18"/>
        </w:rPr>
        <w:t>2</w:t>
      </w:r>
      <w:r w:rsidRPr="00B95AD3">
        <w:rPr>
          <w:rFonts w:cs="Arial"/>
          <w:b/>
          <w:color w:val="000000" w:themeColor="text1"/>
          <w:sz w:val="18"/>
          <w:szCs w:val="18"/>
        </w:rPr>
        <w:t>. Tarjeta de Acondicionamiento de señal sEMG ya armada.</w:t>
      </w:r>
    </w:p>
    <w:p w14:paraId="75EFE9CD" w14:textId="77777777" w:rsidR="00F50D39" w:rsidRPr="00B95AD3" w:rsidRDefault="00F50D39" w:rsidP="00F50D39">
      <w:pPr>
        <w:autoSpaceDE w:val="0"/>
        <w:autoSpaceDN w:val="0"/>
        <w:adjustRightInd w:val="0"/>
        <w:spacing w:after="0" w:line="240" w:lineRule="auto"/>
        <w:rPr>
          <w:rFonts w:cs="Arial"/>
          <w:b/>
          <w:color w:val="000000" w:themeColor="text1"/>
          <w:sz w:val="18"/>
          <w:szCs w:val="18"/>
        </w:rPr>
      </w:pPr>
      <w:r w:rsidRPr="00B95AD3">
        <w:rPr>
          <w:rFonts w:cs="Arial"/>
          <w:b/>
          <w:color w:val="000000" w:themeColor="text1"/>
          <w:sz w:val="18"/>
          <w:szCs w:val="18"/>
        </w:rPr>
        <w:t>Fuente: Elaboración propia (2021).</w:t>
      </w:r>
    </w:p>
    <w:p w14:paraId="0FE958CF" w14:textId="77777777" w:rsidR="00F50D39" w:rsidRPr="00E20DE7" w:rsidRDefault="00F50D39" w:rsidP="00F50D39">
      <w:pPr>
        <w:autoSpaceDE w:val="0"/>
        <w:autoSpaceDN w:val="0"/>
        <w:adjustRightInd w:val="0"/>
        <w:spacing w:after="0" w:line="240" w:lineRule="auto"/>
        <w:rPr>
          <w:rFonts w:cs="Arial"/>
          <w:bCs/>
          <w:color w:val="000000" w:themeColor="text1"/>
          <w:szCs w:val="20"/>
        </w:rPr>
      </w:pPr>
    </w:p>
    <w:p w14:paraId="0600B014" w14:textId="77777777" w:rsidR="00F50D39" w:rsidRDefault="00F50D39" w:rsidP="00F50D39">
      <w:pPr>
        <w:spacing w:after="0" w:line="240" w:lineRule="auto"/>
        <w:jc w:val="both"/>
        <w:rPr>
          <w:rFonts w:cs="Arial"/>
          <w:szCs w:val="20"/>
          <w:highlight w:val="yellow"/>
        </w:rPr>
      </w:pPr>
      <w:r w:rsidRPr="005B702E">
        <w:rPr>
          <w:rFonts w:cs="Arial"/>
          <w:szCs w:val="20"/>
        </w:rPr>
        <w:t>En la figura 1</w:t>
      </w:r>
      <w:r>
        <w:rPr>
          <w:rFonts w:cs="Arial"/>
          <w:szCs w:val="20"/>
        </w:rPr>
        <w:t>3</w:t>
      </w:r>
      <w:r w:rsidRPr="005B702E">
        <w:rPr>
          <w:rFonts w:cs="Arial"/>
          <w:szCs w:val="20"/>
        </w:rPr>
        <w:t xml:space="preserve">, se </w:t>
      </w:r>
      <w:r>
        <w:rPr>
          <w:rFonts w:cs="Arial"/>
          <w:szCs w:val="20"/>
        </w:rPr>
        <w:t>observan</w:t>
      </w:r>
      <w:r w:rsidRPr="005B702E">
        <w:rPr>
          <w:rFonts w:cs="Arial"/>
          <w:szCs w:val="20"/>
        </w:rPr>
        <w:t xml:space="preserve"> imágenes</w:t>
      </w:r>
      <w:r>
        <w:rPr>
          <w:rFonts w:cs="Arial"/>
          <w:szCs w:val="20"/>
        </w:rPr>
        <w:t xml:space="preserve"> arrojadas en e</w:t>
      </w:r>
      <w:r w:rsidRPr="005B702E">
        <w:rPr>
          <w:rFonts w:cs="Arial"/>
          <w:szCs w:val="20"/>
        </w:rPr>
        <w:t>l osciloscopio</w:t>
      </w:r>
      <w:r>
        <w:rPr>
          <w:rFonts w:cs="Arial"/>
          <w:szCs w:val="20"/>
        </w:rPr>
        <w:t xml:space="preserve"> de la medición,</w:t>
      </w:r>
      <w:r w:rsidRPr="005B702E">
        <w:rPr>
          <w:rFonts w:cs="Arial"/>
          <w:szCs w:val="20"/>
        </w:rPr>
        <w:t xml:space="preserve"> directamente de la tarjeta de acondicionamiento en las salidas del preamplificador de biopotenciales, el filtro pasa bandas, el filtro rechazo de banda, el rectificador de precisión y el suavizador regulador de voltaje. El sensor muscular seco se colocó en el bíceps del participante.</w:t>
      </w:r>
      <w:r>
        <w:rPr>
          <w:rFonts w:cs="Arial"/>
          <w:szCs w:val="20"/>
        </w:rPr>
        <w:t xml:space="preserve"> </w:t>
      </w:r>
      <w:r w:rsidRPr="005B702E">
        <w:rPr>
          <w:rFonts w:cs="Arial"/>
          <w:szCs w:val="20"/>
        </w:rPr>
        <w:t>En la salida del filtro pasa banda de 80</w:t>
      </w:r>
      <w:r>
        <w:rPr>
          <w:rFonts w:cs="Arial"/>
          <w:szCs w:val="20"/>
        </w:rPr>
        <w:t xml:space="preserve"> </w:t>
      </w:r>
      <w:r w:rsidRPr="005B702E">
        <w:rPr>
          <w:rFonts w:cs="Arial"/>
          <w:szCs w:val="20"/>
        </w:rPr>
        <w:t xml:space="preserve">a </w:t>
      </w:r>
      <w:r>
        <w:rPr>
          <w:rFonts w:cs="Arial"/>
          <w:szCs w:val="20"/>
        </w:rPr>
        <w:t>3</w:t>
      </w:r>
      <w:r w:rsidRPr="005B702E">
        <w:rPr>
          <w:rFonts w:cs="Arial"/>
          <w:szCs w:val="20"/>
        </w:rPr>
        <w:t xml:space="preserve">00Hz, el nivel de </w:t>
      </w:r>
      <w:r>
        <w:rPr>
          <w:rFonts w:cs="Arial"/>
          <w:szCs w:val="20"/>
        </w:rPr>
        <w:t>DC</w:t>
      </w:r>
      <w:r w:rsidRPr="005B702E">
        <w:rPr>
          <w:rFonts w:cs="Arial"/>
          <w:szCs w:val="20"/>
        </w:rPr>
        <w:t xml:space="preserve"> es eliminado y se aprecian las señales generadas por las contracciones musculares por la acción de aplicar fuerza al m</w:t>
      </w:r>
      <w:r>
        <w:rPr>
          <w:rFonts w:cs="Arial"/>
          <w:szCs w:val="20"/>
        </w:rPr>
        <w:t>ú</w:t>
      </w:r>
      <w:r w:rsidRPr="005B702E">
        <w:rPr>
          <w:rFonts w:cs="Arial"/>
          <w:szCs w:val="20"/>
        </w:rPr>
        <w:t xml:space="preserve">sculo. Los movimientos involuntarios del brazo o </w:t>
      </w:r>
      <w:r w:rsidRPr="005B702E">
        <w:rPr>
          <w:rFonts w:cs="Arial"/>
          <w:szCs w:val="20"/>
        </w:rPr>
        <w:lastRenderedPageBreak/>
        <w:t>contracciones de las fibras musculares cortas son atenuados a la salida de esta etapa. Aún tenemos la componente de 60 Hz muy visible invadiendo nuestra señal sEMG.</w:t>
      </w:r>
      <w:r>
        <w:rPr>
          <w:rFonts w:cs="Arial"/>
          <w:szCs w:val="20"/>
        </w:rPr>
        <w:t xml:space="preserve"> </w:t>
      </w:r>
      <w:r w:rsidRPr="005B702E">
        <w:rPr>
          <w:rFonts w:cs="Arial"/>
          <w:szCs w:val="20"/>
        </w:rPr>
        <w:t>Esta componente de 60 Hz se ve bastante atenuado a la salida del filtro rechazo de banda tipo SNOTCH, y cuando se contraen voluntariamente los músculos del brazo se aprecia la señal que estos generan</w:t>
      </w:r>
      <w:r>
        <w:rPr>
          <w:rFonts w:cs="Arial"/>
          <w:szCs w:val="20"/>
        </w:rPr>
        <w:t>.</w:t>
      </w:r>
    </w:p>
    <w:p w14:paraId="636FAF8D" w14:textId="77777777" w:rsidR="00F50D39" w:rsidRPr="005B702E" w:rsidRDefault="00F50D39" w:rsidP="00F50D39">
      <w:pPr>
        <w:spacing w:after="0" w:line="240" w:lineRule="auto"/>
        <w:jc w:val="both"/>
        <w:rPr>
          <w:rFonts w:cs="Arial"/>
          <w:szCs w:val="20"/>
          <w:highlight w:val="yellow"/>
        </w:rPr>
      </w:pPr>
    </w:p>
    <w:p w14:paraId="4EAEAE94" w14:textId="77777777" w:rsidR="00F50D39" w:rsidRPr="001B3AB6" w:rsidRDefault="00F50D39" w:rsidP="00F50D39">
      <w:pPr>
        <w:spacing w:after="0" w:line="240" w:lineRule="auto"/>
        <w:jc w:val="center"/>
        <w:rPr>
          <w:rFonts w:cs="Arial"/>
          <w:sz w:val="24"/>
          <w:szCs w:val="24"/>
          <w:highlight w:val="yellow"/>
        </w:rPr>
      </w:pPr>
      <w:r w:rsidRPr="001B3AB6">
        <w:rPr>
          <w:rFonts w:cs="Arial"/>
          <w:noProof/>
          <w:sz w:val="24"/>
          <w:szCs w:val="24"/>
          <w:highlight w:val="yellow"/>
          <w:lang w:eastAsia="es-MX"/>
        </w:rPr>
        <w:drawing>
          <wp:inline distT="0" distB="0" distL="0" distR="0" wp14:anchorId="279EB744" wp14:editId="0EE9810D">
            <wp:extent cx="2756205" cy="1890000"/>
            <wp:effectExtent l="19050" t="19050" r="25400" b="15240"/>
            <wp:docPr id="59" name="Imagen 8">
              <a:extLst xmlns:a="http://schemas.openxmlformats.org/drawingml/2006/main">
                <a:ext uri="{FF2B5EF4-FFF2-40B4-BE49-F238E27FC236}">
                  <a16:creationId xmlns:a16="http://schemas.microsoft.com/office/drawing/2014/main" id="{03122622-576F-4A15-9365-19C70AB09F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03122622-576F-4A15-9365-19C70AB09F94}"/>
                        </a:ext>
                      </a:extLst>
                    </pic:cNvPr>
                    <pic:cNvPicPr>
                      <a:picLocks noChangeAspect="1"/>
                    </pic:cNvPicPr>
                  </pic:nvPicPr>
                  <pic:blipFill>
                    <a:blip r:embed="rId35"/>
                    <a:stretch>
                      <a:fillRect/>
                    </a:stretch>
                  </pic:blipFill>
                  <pic:spPr>
                    <a:xfrm>
                      <a:off x="0" y="0"/>
                      <a:ext cx="2756205" cy="1890000"/>
                    </a:xfrm>
                    <a:prstGeom prst="rect">
                      <a:avLst/>
                    </a:prstGeom>
                    <a:ln w="12700">
                      <a:solidFill>
                        <a:schemeClr val="tx1"/>
                      </a:solidFill>
                    </a:ln>
                  </pic:spPr>
                </pic:pic>
              </a:graphicData>
            </a:graphic>
          </wp:inline>
        </w:drawing>
      </w:r>
      <w:r w:rsidRPr="000C3CA4">
        <w:rPr>
          <w:rFonts w:cs="Arial"/>
          <w:noProof/>
          <w:sz w:val="24"/>
          <w:szCs w:val="24"/>
          <w:highlight w:val="yellow"/>
          <w:lang w:eastAsia="es-MX"/>
        </w:rPr>
        <w:drawing>
          <wp:inline distT="0" distB="0" distL="0" distR="0" wp14:anchorId="2F087EEE" wp14:editId="73FA3491">
            <wp:extent cx="1555845" cy="1903445"/>
            <wp:effectExtent l="0" t="0" r="6350" b="1905"/>
            <wp:docPr id="6" name="Imagen 3">
              <a:extLst xmlns:a="http://schemas.openxmlformats.org/drawingml/2006/main">
                <a:ext uri="{FF2B5EF4-FFF2-40B4-BE49-F238E27FC236}">
                  <a16:creationId xmlns:a16="http://schemas.microsoft.com/office/drawing/2014/main" id="{66D9095E-D94A-4EEE-5D4A-81CD0F0095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6D9095E-D94A-4EEE-5D4A-81CD0F0095F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2805" cy="1911961"/>
                    </a:xfrm>
                    <a:prstGeom prst="rect">
                      <a:avLst/>
                    </a:prstGeom>
                  </pic:spPr>
                </pic:pic>
              </a:graphicData>
            </a:graphic>
          </wp:inline>
        </w:drawing>
      </w:r>
    </w:p>
    <w:p w14:paraId="1E6C555C" w14:textId="77777777" w:rsidR="00F50D39" w:rsidRPr="00B95AD3" w:rsidRDefault="00F50D39" w:rsidP="00F50D39">
      <w:pPr>
        <w:spacing w:after="0" w:line="240" w:lineRule="auto"/>
        <w:jc w:val="center"/>
        <w:rPr>
          <w:rFonts w:cs="Arial"/>
          <w:b/>
          <w:sz w:val="18"/>
          <w:szCs w:val="18"/>
        </w:rPr>
      </w:pPr>
      <w:r w:rsidRPr="00B95AD3">
        <w:rPr>
          <w:rFonts w:cs="Arial"/>
          <w:b/>
          <w:color w:val="000000" w:themeColor="text1"/>
          <w:sz w:val="18"/>
          <w:szCs w:val="18"/>
        </w:rPr>
        <w:t>Figura 1</w:t>
      </w:r>
      <w:r>
        <w:rPr>
          <w:rFonts w:cs="Arial"/>
          <w:b/>
          <w:color w:val="000000" w:themeColor="text1"/>
          <w:sz w:val="18"/>
          <w:szCs w:val="18"/>
        </w:rPr>
        <w:t>3</w:t>
      </w:r>
      <w:r w:rsidRPr="00B95AD3">
        <w:rPr>
          <w:rFonts w:cs="Arial"/>
          <w:b/>
          <w:color w:val="000000" w:themeColor="text1"/>
          <w:sz w:val="18"/>
          <w:szCs w:val="18"/>
        </w:rPr>
        <w:t xml:space="preserve">. </w:t>
      </w:r>
      <w:r w:rsidRPr="00B95AD3">
        <w:rPr>
          <w:rFonts w:cs="Arial"/>
          <w:b/>
          <w:sz w:val="18"/>
          <w:szCs w:val="18"/>
        </w:rPr>
        <w:t>Señal sEMG medida a la salida del filtro rechazo de banda.</w:t>
      </w:r>
    </w:p>
    <w:p w14:paraId="3D136BFC" w14:textId="77777777" w:rsidR="00F50D39" w:rsidRPr="00B95AD3" w:rsidRDefault="00F50D39" w:rsidP="00F50D39">
      <w:pPr>
        <w:autoSpaceDE w:val="0"/>
        <w:autoSpaceDN w:val="0"/>
        <w:adjustRightInd w:val="0"/>
        <w:spacing w:after="0" w:line="240" w:lineRule="auto"/>
        <w:rPr>
          <w:rFonts w:cs="Arial"/>
          <w:b/>
          <w:color w:val="000000" w:themeColor="text1"/>
          <w:sz w:val="18"/>
          <w:szCs w:val="18"/>
        </w:rPr>
      </w:pPr>
      <w:r w:rsidRPr="00B95AD3">
        <w:rPr>
          <w:rFonts w:cs="Arial"/>
          <w:b/>
          <w:color w:val="000000" w:themeColor="text1"/>
          <w:sz w:val="18"/>
          <w:szCs w:val="18"/>
        </w:rPr>
        <w:t>Fuente: Elaboración propia (2021).</w:t>
      </w:r>
    </w:p>
    <w:p w14:paraId="2D2279EA" w14:textId="77777777" w:rsidR="00F50D39" w:rsidRDefault="00F50D39" w:rsidP="00F50D39">
      <w:pPr>
        <w:spacing w:after="0" w:line="240" w:lineRule="auto"/>
        <w:jc w:val="both"/>
        <w:rPr>
          <w:rFonts w:cs="Arial"/>
          <w:szCs w:val="20"/>
        </w:rPr>
      </w:pPr>
    </w:p>
    <w:p w14:paraId="1EABD7E8" w14:textId="77777777" w:rsidR="00F50D39" w:rsidRPr="0059032F" w:rsidRDefault="00F50D39" w:rsidP="00F50D39">
      <w:pPr>
        <w:spacing w:after="0" w:line="240" w:lineRule="auto"/>
        <w:jc w:val="both"/>
        <w:rPr>
          <w:rFonts w:cs="Arial"/>
          <w:szCs w:val="20"/>
        </w:rPr>
      </w:pPr>
      <w:r w:rsidRPr="0059032F">
        <w:rPr>
          <w:rFonts w:cs="Arial"/>
          <w:szCs w:val="20"/>
        </w:rPr>
        <w:t>El rectificador de precisión nos entrega la señal sEMG solo con componente positiva, manteniendo las variaciones de voltaje producida por la contracción muscular voluntaria</w:t>
      </w:r>
      <w:r>
        <w:rPr>
          <w:rFonts w:cs="Arial"/>
          <w:szCs w:val="20"/>
        </w:rPr>
        <w:t>, en l</w:t>
      </w:r>
      <w:r w:rsidRPr="0059032F">
        <w:rPr>
          <w:rFonts w:cs="Arial"/>
          <w:szCs w:val="20"/>
        </w:rPr>
        <w:t>a figura 1</w:t>
      </w:r>
      <w:r>
        <w:rPr>
          <w:rFonts w:cs="Arial"/>
          <w:szCs w:val="20"/>
        </w:rPr>
        <w:t>4</w:t>
      </w:r>
      <w:r w:rsidRPr="0059032F">
        <w:rPr>
          <w:rFonts w:cs="Arial"/>
          <w:szCs w:val="20"/>
        </w:rPr>
        <w:t xml:space="preserve"> se observa la señal obtenida en esta etapa.</w:t>
      </w:r>
    </w:p>
    <w:p w14:paraId="4186A736" w14:textId="77777777" w:rsidR="00F50D39" w:rsidRPr="00FC1AB3" w:rsidRDefault="00F50D39" w:rsidP="00F50D39">
      <w:pPr>
        <w:spacing w:after="0" w:line="240" w:lineRule="auto"/>
        <w:jc w:val="center"/>
        <w:rPr>
          <w:rFonts w:cs="Arial"/>
          <w:color w:val="000000" w:themeColor="text1"/>
          <w:sz w:val="24"/>
          <w:szCs w:val="24"/>
        </w:rPr>
      </w:pPr>
      <w:r w:rsidRPr="00FC1AB3">
        <w:rPr>
          <w:rFonts w:cs="Arial"/>
          <w:noProof/>
          <w:color w:val="000000" w:themeColor="text1"/>
          <w:sz w:val="24"/>
          <w:szCs w:val="24"/>
          <w:lang w:eastAsia="es-MX"/>
        </w:rPr>
        <w:drawing>
          <wp:inline distT="0" distB="0" distL="0" distR="0" wp14:anchorId="60BFA326" wp14:editId="32E2C80A">
            <wp:extent cx="2478599" cy="1890000"/>
            <wp:effectExtent l="57150" t="57150" r="93345" b="91440"/>
            <wp:docPr id="60" name="Imagen 6">
              <a:extLst xmlns:a="http://schemas.openxmlformats.org/drawingml/2006/main">
                <a:ext uri="{FF2B5EF4-FFF2-40B4-BE49-F238E27FC236}">
                  <a16:creationId xmlns:a16="http://schemas.microsoft.com/office/drawing/2014/main" id="{0D4706A9-06A4-4FD7-992C-2FD75447E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0D4706A9-06A4-4FD7-992C-2FD75447E524}"/>
                        </a:ext>
                      </a:extLst>
                    </pic:cNvPr>
                    <pic:cNvPicPr>
                      <a:picLocks noChangeAspect="1"/>
                    </pic:cNvPicPr>
                  </pic:nvPicPr>
                  <pic:blipFill>
                    <a:blip r:embed="rId37">
                      <a:extLst>
                        <a:ext uri="{BEBA8EAE-BF5A-486C-A8C5-ECC9F3942E4B}">
                          <a14:imgProps xmlns:a14="http://schemas.microsoft.com/office/drawing/2010/main">
                            <a14:imgLayer r:embed="rId38">
                              <a14:imgEffect>
                                <a14:sharpenSoften amount="50000"/>
                              </a14:imgEffect>
                              <a14:imgEffect>
                                <a14:saturation sat="400000"/>
                              </a14:imgEffect>
                            </a14:imgLayer>
                          </a14:imgProps>
                        </a:ext>
                      </a:extLst>
                    </a:blip>
                    <a:stretch>
                      <a:fillRect/>
                    </a:stretch>
                  </pic:blipFill>
                  <pic:spPr>
                    <a:xfrm>
                      <a:off x="0" y="0"/>
                      <a:ext cx="2478599" cy="1890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C9AAD7" w14:textId="77777777" w:rsidR="00F50D39" w:rsidRPr="00B95AD3" w:rsidRDefault="00F50D39" w:rsidP="00F50D39">
      <w:pPr>
        <w:spacing w:after="0" w:line="240" w:lineRule="auto"/>
        <w:jc w:val="center"/>
        <w:rPr>
          <w:rFonts w:cs="Arial"/>
          <w:b/>
          <w:sz w:val="18"/>
          <w:szCs w:val="18"/>
        </w:rPr>
      </w:pPr>
      <w:r w:rsidRPr="00B95AD3">
        <w:rPr>
          <w:rFonts w:cs="Arial"/>
          <w:b/>
          <w:color w:val="000000" w:themeColor="text1"/>
          <w:sz w:val="18"/>
          <w:szCs w:val="18"/>
        </w:rPr>
        <w:t>Figura 1</w:t>
      </w:r>
      <w:r>
        <w:rPr>
          <w:rFonts w:cs="Arial"/>
          <w:b/>
          <w:color w:val="000000" w:themeColor="text1"/>
          <w:sz w:val="18"/>
          <w:szCs w:val="18"/>
        </w:rPr>
        <w:t>4</w:t>
      </w:r>
      <w:r w:rsidRPr="00B95AD3">
        <w:rPr>
          <w:rFonts w:cs="Arial"/>
          <w:b/>
          <w:color w:val="000000" w:themeColor="text1"/>
          <w:sz w:val="18"/>
          <w:szCs w:val="18"/>
        </w:rPr>
        <w:t xml:space="preserve">. </w:t>
      </w:r>
      <w:r w:rsidRPr="00B95AD3">
        <w:rPr>
          <w:rFonts w:cs="Arial"/>
          <w:b/>
          <w:sz w:val="18"/>
          <w:szCs w:val="18"/>
        </w:rPr>
        <w:t>Señal sEMG medida a la salida del Amplificador rectificador de precisión de anda completa.</w:t>
      </w:r>
    </w:p>
    <w:p w14:paraId="04ABED59" w14:textId="77777777" w:rsidR="00F50D39" w:rsidRPr="00B95AD3" w:rsidRDefault="00F50D39" w:rsidP="00F50D39">
      <w:pPr>
        <w:autoSpaceDE w:val="0"/>
        <w:autoSpaceDN w:val="0"/>
        <w:adjustRightInd w:val="0"/>
        <w:spacing w:after="0" w:line="240" w:lineRule="auto"/>
        <w:rPr>
          <w:rFonts w:cs="Arial"/>
          <w:b/>
          <w:color w:val="000000" w:themeColor="text1"/>
          <w:sz w:val="18"/>
          <w:szCs w:val="18"/>
        </w:rPr>
      </w:pPr>
      <w:r w:rsidRPr="00B95AD3">
        <w:rPr>
          <w:rFonts w:cs="Arial"/>
          <w:b/>
          <w:color w:val="000000" w:themeColor="text1"/>
          <w:sz w:val="18"/>
          <w:szCs w:val="18"/>
        </w:rPr>
        <w:t>Fuente: Elaboración propia (2021).</w:t>
      </w:r>
    </w:p>
    <w:p w14:paraId="52BD30BE" w14:textId="77777777" w:rsidR="00F50D39" w:rsidRPr="00E20DE7" w:rsidRDefault="00F50D39" w:rsidP="00F50D39">
      <w:pPr>
        <w:autoSpaceDE w:val="0"/>
        <w:autoSpaceDN w:val="0"/>
        <w:adjustRightInd w:val="0"/>
        <w:spacing w:after="0" w:line="240" w:lineRule="auto"/>
        <w:rPr>
          <w:rFonts w:cs="Arial"/>
          <w:bCs/>
          <w:color w:val="000000" w:themeColor="text1"/>
          <w:szCs w:val="20"/>
        </w:rPr>
      </w:pPr>
    </w:p>
    <w:p w14:paraId="3F03D8D1" w14:textId="77777777" w:rsidR="00F50D39" w:rsidRPr="00B14640" w:rsidRDefault="00F50D39" w:rsidP="00F50D39">
      <w:pPr>
        <w:spacing w:after="0" w:line="240" w:lineRule="auto"/>
        <w:jc w:val="both"/>
        <w:rPr>
          <w:rFonts w:cs="Arial"/>
          <w:szCs w:val="20"/>
        </w:rPr>
      </w:pPr>
      <w:r w:rsidRPr="00B14640">
        <w:rPr>
          <w:rFonts w:cs="Arial"/>
          <w:szCs w:val="20"/>
        </w:rPr>
        <w:t>Finalmente, esta señal se suaviza, integrando las variaciones de voltaje producidas por los m</w:t>
      </w:r>
      <w:r>
        <w:rPr>
          <w:rFonts w:cs="Arial"/>
          <w:szCs w:val="20"/>
        </w:rPr>
        <w:t>úsculos</w:t>
      </w:r>
      <w:r w:rsidRPr="00B14640">
        <w:rPr>
          <w:rFonts w:cs="Arial"/>
          <w:szCs w:val="20"/>
        </w:rPr>
        <w:t xml:space="preserve">, como se observa la figura 15, entregando una señal de </w:t>
      </w:r>
      <w:r>
        <w:rPr>
          <w:rFonts w:cs="Arial"/>
          <w:szCs w:val="20"/>
        </w:rPr>
        <w:t>DC</w:t>
      </w:r>
      <w:r w:rsidRPr="00B14640">
        <w:rPr>
          <w:rFonts w:cs="Arial"/>
          <w:szCs w:val="20"/>
        </w:rPr>
        <w:t xml:space="preserve"> que puede ser leída fácilmente por un convertidor analógico a digital sencillo. Los niveles de voltaje de la señal de salida pueden ser ajustados con el amplificador no inversor de la etapa del rectificador de precisión.</w:t>
      </w:r>
    </w:p>
    <w:p w14:paraId="11A1A411" w14:textId="77777777" w:rsidR="00F50D39" w:rsidRPr="001B3AB6" w:rsidRDefault="00F50D39" w:rsidP="00F50D39">
      <w:pPr>
        <w:spacing w:after="0" w:line="240" w:lineRule="auto"/>
        <w:jc w:val="center"/>
        <w:rPr>
          <w:rFonts w:cs="Arial"/>
          <w:sz w:val="24"/>
          <w:szCs w:val="24"/>
        </w:rPr>
      </w:pPr>
      <w:r w:rsidRPr="001B3AB6">
        <w:rPr>
          <w:rFonts w:cs="Arial"/>
          <w:noProof/>
          <w:sz w:val="24"/>
          <w:szCs w:val="24"/>
          <w:lang w:eastAsia="es-MX"/>
        </w:rPr>
        <w:lastRenderedPageBreak/>
        <w:drawing>
          <wp:inline distT="0" distB="0" distL="0" distR="0" wp14:anchorId="4120FC4D" wp14:editId="297BF98E">
            <wp:extent cx="2736000" cy="2015267"/>
            <wp:effectExtent l="0" t="0" r="7620" b="4445"/>
            <wp:docPr id="193" name="Imagen 8">
              <a:extLst xmlns:a="http://schemas.openxmlformats.org/drawingml/2006/main">
                <a:ext uri="{FF2B5EF4-FFF2-40B4-BE49-F238E27FC236}">
                  <a16:creationId xmlns:a16="http://schemas.microsoft.com/office/drawing/2014/main" id="{2038F0A1-9F39-48B3-BFA8-99C9AC3726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2038F0A1-9F39-48B3-BFA8-99C9AC372641}"/>
                        </a:ext>
                      </a:extLst>
                    </pic:cNvPr>
                    <pic:cNvPicPr>
                      <a:picLocks noChangeAspect="1"/>
                    </pic:cNvPicPr>
                  </pic:nvPicPr>
                  <pic:blipFill>
                    <a:blip r:embed="rId39"/>
                    <a:stretch>
                      <a:fillRect/>
                    </a:stretch>
                  </pic:blipFill>
                  <pic:spPr>
                    <a:xfrm>
                      <a:off x="0" y="0"/>
                      <a:ext cx="2736000" cy="2015267"/>
                    </a:xfrm>
                    <a:prstGeom prst="rect">
                      <a:avLst/>
                    </a:prstGeom>
                  </pic:spPr>
                </pic:pic>
              </a:graphicData>
            </a:graphic>
          </wp:inline>
        </w:drawing>
      </w:r>
    </w:p>
    <w:p w14:paraId="011FE75D" w14:textId="77777777" w:rsidR="00F50D39" w:rsidRPr="00B95AD3" w:rsidRDefault="00F50D39" w:rsidP="00F50D39">
      <w:pPr>
        <w:spacing w:after="0" w:line="240" w:lineRule="auto"/>
        <w:jc w:val="center"/>
        <w:rPr>
          <w:rFonts w:cs="Arial"/>
          <w:b/>
          <w:sz w:val="18"/>
          <w:szCs w:val="18"/>
        </w:rPr>
      </w:pPr>
      <w:r w:rsidRPr="00B95AD3">
        <w:rPr>
          <w:rFonts w:cs="Arial"/>
          <w:b/>
          <w:sz w:val="18"/>
          <w:szCs w:val="18"/>
        </w:rPr>
        <w:t>Figura 1</w:t>
      </w:r>
      <w:r>
        <w:rPr>
          <w:rFonts w:cs="Arial"/>
          <w:b/>
          <w:sz w:val="18"/>
          <w:szCs w:val="18"/>
        </w:rPr>
        <w:t>5</w:t>
      </w:r>
      <w:r w:rsidRPr="00B95AD3">
        <w:rPr>
          <w:rFonts w:cs="Arial"/>
          <w:b/>
          <w:sz w:val="18"/>
          <w:szCs w:val="18"/>
        </w:rPr>
        <w:t>. Señal sEMG medida a la salida del suavizador y regulador de 5V.</w:t>
      </w:r>
    </w:p>
    <w:p w14:paraId="3FFB7D54" w14:textId="77777777" w:rsidR="00F50D39" w:rsidRPr="00B95AD3" w:rsidRDefault="00F50D39" w:rsidP="00F50D39">
      <w:pPr>
        <w:autoSpaceDE w:val="0"/>
        <w:autoSpaceDN w:val="0"/>
        <w:adjustRightInd w:val="0"/>
        <w:spacing w:after="0" w:line="240" w:lineRule="auto"/>
        <w:rPr>
          <w:rFonts w:cs="Arial"/>
          <w:b/>
          <w:sz w:val="18"/>
          <w:szCs w:val="18"/>
        </w:rPr>
      </w:pPr>
      <w:r w:rsidRPr="00B95AD3">
        <w:rPr>
          <w:rFonts w:cs="Arial"/>
          <w:b/>
          <w:sz w:val="18"/>
          <w:szCs w:val="18"/>
        </w:rPr>
        <w:t>Fuente: Elaboración propia (2021).</w:t>
      </w:r>
    </w:p>
    <w:p w14:paraId="2E03CF3E" w14:textId="77777777" w:rsidR="00F50D39" w:rsidRPr="00B95AD3" w:rsidRDefault="00F50D39" w:rsidP="00F50D39">
      <w:pPr>
        <w:spacing w:after="0" w:line="240" w:lineRule="auto"/>
        <w:rPr>
          <w:rFonts w:cs="Arial"/>
          <w:b/>
          <w:bCs/>
          <w:color w:val="0070C0"/>
          <w:szCs w:val="20"/>
        </w:rPr>
      </w:pPr>
    </w:p>
    <w:p w14:paraId="633246A7" w14:textId="77777777" w:rsidR="00F50D39" w:rsidRPr="005F3762" w:rsidRDefault="00F50D39" w:rsidP="00F50D39">
      <w:pPr>
        <w:pStyle w:val="ListParagraph"/>
        <w:spacing w:after="0" w:line="240" w:lineRule="auto"/>
        <w:ind w:left="0"/>
        <w:rPr>
          <w:rFonts w:cs="Arial"/>
          <w:b/>
          <w:bCs/>
          <w:color w:val="000000" w:themeColor="text1"/>
          <w:sz w:val="24"/>
          <w:szCs w:val="24"/>
        </w:rPr>
      </w:pPr>
      <w:r w:rsidRPr="005F3762">
        <w:rPr>
          <w:rFonts w:cs="Arial"/>
          <w:b/>
          <w:bCs/>
          <w:color w:val="000000" w:themeColor="text1"/>
          <w:sz w:val="24"/>
          <w:szCs w:val="24"/>
        </w:rPr>
        <w:t>CONCLUSIÓN</w:t>
      </w:r>
      <w:r>
        <w:rPr>
          <w:rFonts w:cs="Arial"/>
          <w:b/>
          <w:bCs/>
          <w:color w:val="000000" w:themeColor="text1"/>
          <w:sz w:val="24"/>
          <w:szCs w:val="24"/>
        </w:rPr>
        <w:t xml:space="preserve"> Y RECOMENDACIONES</w:t>
      </w:r>
    </w:p>
    <w:p w14:paraId="1ACD594D" w14:textId="77777777" w:rsidR="00F50D39" w:rsidRDefault="00F50D39" w:rsidP="00F50D39">
      <w:pPr>
        <w:spacing w:after="0" w:line="240" w:lineRule="auto"/>
        <w:jc w:val="both"/>
        <w:rPr>
          <w:rFonts w:cs="Arial"/>
          <w:szCs w:val="20"/>
        </w:rPr>
      </w:pPr>
    </w:p>
    <w:p w14:paraId="52E79046" w14:textId="77777777" w:rsidR="00F50D39" w:rsidRPr="00FC1AB3" w:rsidRDefault="00F50D39" w:rsidP="00F50D39">
      <w:pPr>
        <w:spacing w:after="0" w:line="240" w:lineRule="auto"/>
        <w:jc w:val="both"/>
        <w:rPr>
          <w:rFonts w:cs="Arial"/>
          <w:szCs w:val="20"/>
        </w:rPr>
      </w:pPr>
      <w:r w:rsidRPr="00FC1AB3">
        <w:rPr>
          <w:rFonts w:cs="Arial"/>
          <w:szCs w:val="20"/>
        </w:rPr>
        <w:t xml:space="preserve">Las señales sEMG en la actualidad se están utilizando para el control de prótesis, con la tarjeta de acondicionamiento de señal diseñada es posible medir la </w:t>
      </w:r>
      <w:r>
        <w:rPr>
          <w:rFonts w:cs="Arial"/>
          <w:szCs w:val="20"/>
        </w:rPr>
        <w:t>intensidad</w:t>
      </w:r>
      <w:r w:rsidRPr="00FC1AB3">
        <w:rPr>
          <w:rFonts w:cs="Arial"/>
          <w:szCs w:val="20"/>
        </w:rPr>
        <w:t xml:space="preserve"> con que se contraen voluntariamente los músculos largos de los brazos y lograr utilizar esta señal eléctrica para realizar </w:t>
      </w:r>
      <w:r>
        <w:rPr>
          <w:rFonts w:cs="Arial"/>
          <w:szCs w:val="20"/>
        </w:rPr>
        <w:t xml:space="preserve">el estudio de evaluación de riesgos y </w:t>
      </w:r>
      <w:r w:rsidRPr="00FC1AB3">
        <w:rPr>
          <w:rFonts w:cs="Arial"/>
          <w:szCs w:val="20"/>
        </w:rPr>
        <w:t>el control de prótesis.</w:t>
      </w:r>
      <w:r>
        <w:rPr>
          <w:rFonts w:cs="Arial"/>
          <w:szCs w:val="20"/>
        </w:rPr>
        <w:t xml:space="preserve"> U</w:t>
      </w:r>
      <w:r w:rsidRPr="00FC1AB3">
        <w:rPr>
          <w:rFonts w:cs="Arial"/>
          <w:szCs w:val="20"/>
        </w:rPr>
        <w:t>tilizar un amplificador de instrumentación con una resistencia de entrada muy cercana a la resistencia de los electrodos de medición secos para evitar la pérdida o atenuación de las señales musculares, además de poder eliminar el ruido en modo común utilizando una ganancia baja menor o igual a 10 en esta etapa.</w:t>
      </w:r>
    </w:p>
    <w:p w14:paraId="1896BB34" w14:textId="77777777" w:rsidR="00F50D39" w:rsidRDefault="00F50D39" w:rsidP="00F50D39">
      <w:pPr>
        <w:pStyle w:val="BodyText3"/>
        <w:spacing w:line="240" w:lineRule="auto"/>
        <w:rPr>
          <w:rFonts w:cs="Arial"/>
          <w:sz w:val="20"/>
          <w:szCs w:val="20"/>
        </w:rPr>
      </w:pPr>
    </w:p>
    <w:p w14:paraId="69987156" w14:textId="77777777" w:rsidR="00F50D39" w:rsidRPr="00A82308" w:rsidRDefault="00F50D39" w:rsidP="00F50D39">
      <w:pPr>
        <w:pStyle w:val="BodyText3"/>
        <w:spacing w:line="240" w:lineRule="auto"/>
        <w:rPr>
          <w:rFonts w:cs="Arial"/>
          <w:sz w:val="20"/>
          <w:szCs w:val="20"/>
        </w:rPr>
      </w:pPr>
      <w:r w:rsidRPr="00FC1AB3">
        <w:rPr>
          <w:rFonts w:cs="Arial"/>
          <w:sz w:val="20"/>
          <w:szCs w:val="20"/>
        </w:rPr>
        <w:t>El filtro rechazo de banda es indispensable para eliminar la enorme contribución de la componente de 60Hz en las señales bioeléctricas, por eso consideramos que los componentes como resistencias y capacitores deben ser de precisión con 1% de tolerancia al menos para esta etapa de reducción de ruido. Y así estar seguros de que eliminaremos solo la componente de 60Hz y no otras contribuciones generadas por las contracciones musculares.</w:t>
      </w:r>
      <w:r>
        <w:rPr>
          <w:rFonts w:cs="Arial"/>
          <w:sz w:val="20"/>
          <w:szCs w:val="20"/>
        </w:rPr>
        <w:t xml:space="preserve"> </w:t>
      </w:r>
      <w:r w:rsidRPr="00A82308">
        <w:rPr>
          <w:rFonts w:cs="Arial"/>
          <w:sz w:val="20"/>
          <w:szCs w:val="20"/>
        </w:rPr>
        <w:t xml:space="preserve">La necesidad de suavizar la señal a la salida del rectificador de precisión se hace para evitar realizar filtrado de señal extra mediante software y generar un atraso en la </w:t>
      </w:r>
      <w:r>
        <w:rPr>
          <w:rFonts w:cs="Arial"/>
          <w:sz w:val="20"/>
          <w:szCs w:val="20"/>
        </w:rPr>
        <w:t>señal de salida</w:t>
      </w:r>
      <w:r w:rsidRPr="00A82308">
        <w:rPr>
          <w:rFonts w:cs="Arial"/>
          <w:sz w:val="20"/>
          <w:szCs w:val="20"/>
        </w:rPr>
        <w:t>.</w:t>
      </w:r>
    </w:p>
    <w:p w14:paraId="1840D9F8" w14:textId="77777777" w:rsidR="00F50D39" w:rsidRDefault="00F50D39" w:rsidP="00F50D39">
      <w:pPr>
        <w:spacing w:after="0" w:line="240" w:lineRule="auto"/>
        <w:jc w:val="both"/>
        <w:rPr>
          <w:rFonts w:cs="Arial"/>
          <w:szCs w:val="20"/>
        </w:rPr>
      </w:pPr>
    </w:p>
    <w:p w14:paraId="0AF6BDE3" w14:textId="77777777" w:rsidR="00F50D39" w:rsidRDefault="00F50D39" w:rsidP="00F50D39">
      <w:pPr>
        <w:spacing w:after="0" w:line="240" w:lineRule="auto"/>
        <w:jc w:val="both"/>
        <w:rPr>
          <w:rFonts w:cs="Arial"/>
          <w:szCs w:val="20"/>
        </w:rPr>
      </w:pPr>
      <w:r w:rsidRPr="00FC1AB3">
        <w:rPr>
          <w:rFonts w:cs="Arial"/>
          <w:szCs w:val="20"/>
        </w:rPr>
        <w:t xml:space="preserve">En la actualidad se pueden conseguir tarjetas de adquisición de señales sEMG muy baratas y sencillas que solo utilizan el preamplificador de señales bioeléctricas, pero sin la protección de la tierra virtual y con filtros pasa banda muy básicos, que por lo general necesitan de la aplicación de filtros digitales realizados mediante software en los microcontroladores o </w:t>
      </w:r>
      <w:r>
        <w:rPr>
          <w:rFonts w:cs="Arial"/>
          <w:szCs w:val="20"/>
        </w:rPr>
        <w:t>dispositivo de procesamiento digital de señales (</w:t>
      </w:r>
      <w:r w:rsidRPr="00FC1AB3">
        <w:rPr>
          <w:rFonts w:cs="Arial"/>
          <w:szCs w:val="20"/>
        </w:rPr>
        <w:t>DSP</w:t>
      </w:r>
      <w:r>
        <w:rPr>
          <w:rFonts w:cs="Arial"/>
          <w:szCs w:val="20"/>
        </w:rPr>
        <w:t>), lo que implica un retraso en la señal de salida</w:t>
      </w:r>
      <w:r w:rsidRPr="00FC1AB3">
        <w:rPr>
          <w:rFonts w:cs="Arial"/>
          <w:szCs w:val="20"/>
        </w:rPr>
        <w:t xml:space="preserve">. </w:t>
      </w:r>
      <w:r>
        <w:rPr>
          <w:rFonts w:cs="Arial"/>
          <w:szCs w:val="20"/>
        </w:rPr>
        <w:t>La</w:t>
      </w:r>
      <w:r w:rsidRPr="00FC1AB3">
        <w:rPr>
          <w:rFonts w:cs="Arial"/>
          <w:szCs w:val="20"/>
        </w:rPr>
        <w:t xml:space="preserve"> tarjeta</w:t>
      </w:r>
      <w:r>
        <w:rPr>
          <w:rFonts w:cs="Arial"/>
          <w:szCs w:val="20"/>
        </w:rPr>
        <w:t xml:space="preserve"> </w:t>
      </w:r>
      <w:r w:rsidRPr="00FC1AB3">
        <w:rPr>
          <w:rFonts w:cs="Arial"/>
          <w:szCs w:val="20"/>
        </w:rPr>
        <w:t>de acondicionamiento de señal</w:t>
      </w:r>
      <w:r>
        <w:rPr>
          <w:rFonts w:cs="Arial"/>
          <w:szCs w:val="20"/>
        </w:rPr>
        <w:t xml:space="preserve"> desarrollada en esta investigación</w:t>
      </w:r>
      <w:r w:rsidRPr="00FC1AB3">
        <w:rPr>
          <w:rFonts w:cs="Arial"/>
          <w:szCs w:val="20"/>
        </w:rPr>
        <w:t xml:space="preserve"> no necesita la aplicación de filtrado extra mediante software de manera que se puede utilizar un microcontrolador de bajas prestaciones y velocidad de reloj baja para captación de las señales sEMG.</w:t>
      </w:r>
    </w:p>
    <w:p w14:paraId="36DF692F" w14:textId="77777777" w:rsidR="00F50D39" w:rsidRPr="00B95AD3" w:rsidRDefault="00F50D39" w:rsidP="00F50D39">
      <w:pPr>
        <w:spacing w:after="0" w:line="240" w:lineRule="auto"/>
        <w:jc w:val="both"/>
        <w:rPr>
          <w:rFonts w:cs="Arial"/>
          <w:szCs w:val="20"/>
        </w:rPr>
      </w:pPr>
    </w:p>
    <w:p w14:paraId="643C6440" w14:textId="77777777" w:rsidR="00F50D39" w:rsidRDefault="00F50D39" w:rsidP="00F50D39">
      <w:pPr>
        <w:pStyle w:val="Heading5"/>
        <w:spacing w:line="240" w:lineRule="auto"/>
        <w:rPr>
          <w:rFonts w:ascii="Arial" w:hAnsi="Arial" w:cs="Arial"/>
          <w:color w:val="000000" w:themeColor="text1"/>
          <w:lang w:val="en-US"/>
        </w:rPr>
      </w:pPr>
    </w:p>
    <w:p w14:paraId="2CF98C7E" w14:textId="77777777" w:rsidR="00F50D39" w:rsidRDefault="00F50D39" w:rsidP="00F50D39">
      <w:pPr>
        <w:pStyle w:val="Heading5"/>
        <w:spacing w:line="240" w:lineRule="auto"/>
        <w:rPr>
          <w:rFonts w:ascii="Arial" w:hAnsi="Arial" w:cs="Arial"/>
          <w:color w:val="000000" w:themeColor="text1"/>
          <w:lang w:val="en-US"/>
        </w:rPr>
      </w:pPr>
    </w:p>
    <w:p w14:paraId="1A5A4EDE" w14:textId="356717B9" w:rsidR="00F50D39" w:rsidRDefault="00F50D39" w:rsidP="00F50D39">
      <w:pPr>
        <w:pStyle w:val="Heading5"/>
        <w:spacing w:line="240" w:lineRule="auto"/>
        <w:rPr>
          <w:rFonts w:ascii="Arial" w:hAnsi="Arial" w:cs="Arial"/>
          <w:color w:val="000000" w:themeColor="text1"/>
          <w:lang w:val="en-US"/>
        </w:rPr>
      </w:pPr>
    </w:p>
    <w:p w14:paraId="4F05EB46" w14:textId="77777777" w:rsidR="00F50D39" w:rsidRPr="00F50D39" w:rsidRDefault="00F50D39" w:rsidP="00F50D39">
      <w:pPr>
        <w:rPr>
          <w:lang w:val="en-US"/>
        </w:rPr>
      </w:pPr>
    </w:p>
    <w:p w14:paraId="5D31665D" w14:textId="77777777" w:rsidR="00F50D39" w:rsidRDefault="00F50D39" w:rsidP="00F50D39">
      <w:pPr>
        <w:pStyle w:val="Heading5"/>
        <w:spacing w:line="240" w:lineRule="auto"/>
        <w:rPr>
          <w:rFonts w:ascii="Arial" w:hAnsi="Arial" w:cs="Arial"/>
          <w:color w:val="000000" w:themeColor="text1"/>
          <w:lang w:val="en-US"/>
        </w:rPr>
      </w:pPr>
    </w:p>
    <w:p w14:paraId="2D371681" w14:textId="77777777" w:rsidR="00F50D39" w:rsidRDefault="00F50D39" w:rsidP="00F50D39">
      <w:pPr>
        <w:pStyle w:val="Heading5"/>
        <w:spacing w:line="240" w:lineRule="auto"/>
        <w:rPr>
          <w:rFonts w:ascii="Arial" w:hAnsi="Arial" w:cs="Arial"/>
          <w:color w:val="000000" w:themeColor="text1"/>
          <w:lang w:val="en-US"/>
        </w:rPr>
      </w:pPr>
    </w:p>
    <w:p w14:paraId="33D300FF" w14:textId="02AF0745" w:rsidR="00F50D39" w:rsidRPr="00F50D39" w:rsidRDefault="00F50D39" w:rsidP="00F50D39">
      <w:pPr>
        <w:pStyle w:val="Heading5"/>
        <w:spacing w:line="240" w:lineRule="auto"/>
        <w:rPr>
          <w:rFonts w:ascii="Arial" w:hAnsi="Arial" w:cs="Arial"/>
          <w:b/>
          <w:bCs/>
          <w:lang w:val="en-US"/>
        </w:rPr>
      </w:pPr>
      <w:r w:rsidRPr="00F50D39">
        <w:rPr>
          <w:rFonts w:ascii="Arial" w:hAnsi="Arial" w:cs="Arial"/>
          <w:b/>
          <w:bCs/>
          <w:color w:val="000000" w:themeColor="text1"/>
          <w:lang w:val="en-US"/>
        </w:rPr>
        <w:t>REFERENCIAS</w:t>
      </w:r>
    </w:p>
    <w:p w14:paraId="40DA1712" w14:textId="77777777" w:rsidR="00F50D39" w:rsidRDefault="00F50D39" w:rsidP="00F50D39">
      <w:pPr>
        <w:autoSpaceDE w:val="0"/>
        <w:autoSpaceDN w:val="0"/>
        <w:adjustRightInd w:val="0"/>
        <w:spacing w:after="0" w:line="240" w:lineRule="auto"/>
        <w:ind w:left="720" w:hanging="720"/>
        <w:jc w:val="both"/>
        <w:rPr>
          <w:rFonts w:cs="Arial"/>
          <w:szCs w:val="20"/>
          <w:lang w:val="en-US"/>
        </w:rPr>
      </w:pPr>
    </w:p>
    <w:p w14:paraId="09B3DE9D" w14:textId="77777777" w:rsidR="00F50D39" w:rsidRPr="00F00E9E" w:rsidRDefault="00F50D39" w:rsidP="00F50D39">
      <w:pPr>
        <w:autoSpaceDE w:val="0"/>
        <w:autoSpaceDN w:val="0"/>
        <w:adjustRightInd w:val="0"/>
        <w:spacing w:after="0" w:line="240" w:lineRule="auto"/>
        <w:ind w:left="720" w:hanging="720"/>
        <w:jc w:val="both"/>
        <w:rPr>
          <w:rFonts w:cs="Arial"/>
          <w:szCs w:val="20"/>
        </w:rPr>
      </w:pPr>
      <w:r w:rsidRPr="00F00E9E">
        <w:rPr>
          <w:rFonts w:cs="Arial"/>
          <w:szCs w:val="20"/>
          <w:lang w:val="en-US"/>
        </w:rPr>
        <w:t xml:space="preserve">Burr-Brown (2005). Texas Instrument, Precision, Low Power Instrumentation Amplifiers INA129, October 1995 − revised April 2019. </w:t>
      </w:r>
      <w:r w:rsidRPr="00F00E9E">
        <w:rPr>
          <w:rFonts w:cs="Arial"/>
          <w:szCs w:val="20"/>
        </w:rPr>
        <w:t>Obtenido de:</w:t>
      </w:r>
      <w:r>
        <w:rPr>
          <w:rFonts w:cs="Arial"/>
          <w:szCs w:val="20"/>
        </w:rPr>
        <w:t xml:space="preserve"> </w:t>
      </w:r>
      <w:r w:rsidRPr="00F00E9E">
        <w:rPr>
          <w:rFonts w:cs="Arial"/>
          <w:szCs w:val="20"/>
        </w:rPr>
        <w:t>https:/www.it.com/lit/ds/symlink/ina128.pdf</w:t>
      </w:r>
    </w:p>
    <w:p w14:paraId="546FF50A" w14:textId="77777777" w:rsidR="00F50D39" w:rsidRPr="00F00E9E" w:rsidRDefault="00F50D39" w:rsidP="00F50D39">
      <w:pPr>
        <w:autoSpaceDE w:val="0"/>
        <w:autoSpaceDN w:val="0"/>
        <w:adjustRightInd w:val="0"/>
        <w:spacing w:after="0" w:line="240" w:lineRule="auto"/>
        <w:ind w:left="720" w:hanging="720"/>
        <w:jc w:val="both"/>
        <w:rPr>
          <w:rFonts w:cs="Arial"/>
          <w:szCs w:val="20"/>
          <w:shd w:val="clear" w:color="auto" w:fill="FFFFFF"/>
          <w:lang w:val="en-US"/>
        </w:rPr>
      </w:pPr>
      <w:r w:rsidRPr="00F00E9E">
        <w:rPr>
          <w:rFonts w:cs="Arial"/>
          <w:szCs w:val="20"/>
          <w:shd w:val="clear" w:color="auto" w:fill="FFFFFF"/>
          <w:lang w:val="en-US"/>
        </w:rPr>
        <w:t xml:space="preserve">Chi, Y. M., Jung, T., &amp; </w:t>
      </w:r>
      <w:proofErr w:type="spellStart"/>
      <w:r w:rsidRPr="00F00E9E">
        <w:rPr>
          <w:rFonts w:cs="Arial"/>
          <w:szCs w:val="20"/>
          <w:shd w:val="clear" w:color="auto" w:fill="FFFFFF"/>
          <w:lang w:val="en-US"/>
        </w:rPr>
        <w:t>Cauwenberghs</w:t>
      </w:r>
      <w:proofErr w:type="spellEnd"/>
      <w:r w:rsidRPr="00F00E9E">
        <w:rPr>
          <w:rFonts w:cs="Arial"/>
          <w:szCs w:val="20"/>
          <w:shd w:val="clear" w:color="auto" w:fill="FFFFFF"/>
          <w:lang w:val="en-US"/>
        </w:rPr>
        <w:t>, G. (2010). Dry-Contact and Noncontact Biopotential Electrodes: Methodological Review. </w:t>
      </w:r>
      <w:r w:rsidRPr="00F00E9E">
        <w:rPr>
          <w:rStyle w:val="Emphasis"/>
          <w:rFonts w:cs="Arial"/>
          <w:szCs w:val="20"/>
          <w:lang w:val="en-US"/>
        </w:rPr>
        <w:t>IEEE Reviews in Biomedical Engineering, 3</w:t>
      </w:r>
      <w:r w:rsidRPr="00F00E9E">
        <w:rPr>
          <w:rFonts w:cs="Arial"/>
          <w:szCs w:val="20"/>
          <w:shd w:val="clear" w:color="auto" w:fill="FFFFFF"/>
          <w:lang w:val="en-US"/>
        </w:rPr>
        <w:t xml:space="preserve">, pp. 106-119. </w:t>
      </w:r>
      <w:proofErr w:type="spellStart"/>
      <w:r w:rsidRPr="00F00E9E">
        <w:rPr>
          <w:rFonts w:cs="Arial"/>
          <w:szCs w:val="20"/>
          <w:lang w:val="en-US"/>
        </w:rPr>
        <w:t>Obtenido</w:t>
      </w:r>
      <w:proofErr w:type="spellEnd"/>
      <w:r w:rsidRPr="00F00E9E">
        <w:rPr>
          <w:rFonts w:cs="Arial"/>
          <w:szCs w:val="20"/>
          <w:lang w:val="en-US"/>
        </w:rPr>
        <w:t xml:space="preserve"> de: </w:t>
      </w:r>
      <w:r w:rsidRPr="00F00E9E">
        <w:rPr>
          <w:rFonts w:cs="Arial"/>
          <w:szCs w:val="20"/>
          <w:shd w:val="clear" w:color="auto" w:fill="FFFFFF"/>
          <w:lang w:val="en-US"/>
        </w:rPr>
        <w:t xml:space="preserve"> </w:t>
      </w:r>
    </w:p>
    <w:p w14:paraId="66186FD3" w14:textId="77777777" w:rsidR="00F50D39" w:rsidRPr="00F50D39" w:rsidRDefault="00F50D39" w:rsidP="00F50D39">
      <w:pPr>
        <w:pStyle w:val="BodyTextIndent"/>
        <w:spacing w:line="240" w:lineRule="auto"/>
        <w:ind w:left="709"/>
        <w:rPr>
          <w:rFonts w:ascii="Arial" w:hAnsi="Arial" w:cs="Arial"/>
          <w:sz w:val="20"/>
          <w:szCs w:val="20"/>
          <w:lang w:val="en-US"/>
        </w:rPr>
      </w:pPr>
      <w:r w:rsidRPr="00F50D39">
        <w:rPr>
          <w:rFonts w:ascii="Arial" w:hAnsi="Arial" w:cs="Arial"/>
          <w:sz w:val="20"/>
          <w:szCs w:val="20"/>
          <w:lang w:val="en-US"/>
        </w:rPr>
        <w:t>https://www.semanticscholar.org/paper/Dry-Contact-and-Noncontact-Biopotential-Electrodes%3A-Chi-Jung/9be1df07e4ffcec086af9fa6ff6177708bba6bb1</w:t>
      </w:r>
    </w:p>
    <w:p w14:paraId="5286E0C5" w14:textId="77777777" w:rsidR="00F50D39" w:rsidRPr="00F00E9E" w:rsidRDefault="00F50D39" w:rsidP="00F50D39">
      <w:pPr>
        <w:autoSpaceDE w:val="0"/>
        <w:autoSpaceDN w:val="0"/>
        <w:adjustRightInd w:val="0"/>
        <w:spacing w:after="0" w:line="240" w:lineRule="auto"/>
        <w:ind w:left="720" w:hanging="720"/>
        <w:jc w:val="both"/>
        <w:rPr>
          <w:rFonts w:cs="Arial"/>
          <w:szCs w:val="20"/>
          <w:lang w:val="en-US"/>
        </w:rPr>
      </w:pPr>
      <w:r w:rsidRPr="00F00E9E">
        <w:rPr>
          <w:rFonts w:cs="Arial"/>
          <w:szCs w:val="20"/>
        </w:rPr>
        <w:t xml:space="preserve">De Luca, C. J. (2006). Electromyographic. </w:t>
      </w:r>
      <w:r w:rsidRPr="00F00E9E">
        <w:rPr>
          <w:rFonts w:cs="Arial"/>
          <w:i/>
          <w:iCs/>
          <w:szCs w:val="20"/>
          <w:lang w:val="en-US"/>
        </w:rPr>
        <w:t>Encyclopedia of Medical Devices and Instrumentation.</w:t>
      </w:r>
      <w:r w:rsidRPr="00F00E9E">
        <w:rPr>
          <w:rFonts w:cs="Arial"/>
          <w:szCs w:val="20"/>
          <w:lang w:val="en-US"/>
        </w:rPr>
        <w:t xml:space="preserve"> (John G. Webster, Ed.)  John Wiley Publisher, pp. 98-106. </w:t>
      </w:r>
      <w:proofErr w:type="spellStart"/>
      <w:r w:rsidRPr="00F00E9E">
        <w:rPr>
          <w:rFonts w:cs="Arial"/>
          <w:szCs w:val="20"/>
          <w:lang w:val="en-US"/>
        </w:rPr>
        <w:t>Obtenido</w:t>
      </w:r>
      <w:proofErr w:type="spellEnd"/>
      <w:r w:rsidRPr="00F00E9E">
        <w:rPr>
          <w:rFonts w:cs="Arial"/>
          <w:szCs w:val="20"/>
          <w:lang w:val="en-US"/>
        </w:rPr>
        <w:t xml:space="preserve"> de:</w:t>
      </w:r>
    </w:p>
    <w:p w14:paraId="1B69CDB8" w14:textId="77777777" w:rsidR="00F50D39" w:rsidRPr="00F00E9E" w:rsidRDefault="00F50D39" w:rsidP="00F50D39">
      <w:pPr>
        <w:autoSpaceDE w:val="0"/>
        <w:autoSpaceDN w:val="0"/>
        <w:adjustRightInd w:val="0"/>
        <w:spacing w:after="0" w:line="240" w:lineRule="auto"/>
        <w:ind w:left="720"/>
        <w:jc w:val="both"/>
        <w:rPr>
          <w:rFonts w:cs="Arial"/>
          <w:szCs w:val="20"/>
          <w:lang w:val="en-US"/>
        </w:rPr>
      </w:pPr>
      <w:r w:rsidRPr="00F00E9E">
        <w:rPr>
          <w:rFonts w:cs="Arial"/>
          <w:szCs w:val="20"/>
          <w:lang w:val="en-US"/>
        </w:rPr>
        <w:t>https://www.delsys.com/downloads/TUTORIAL/emg-encyclopedia-of-medical-devices-and-instrumentation.pdf</w:t>
      </w:r>
    </w:p>
    <w:p w14:paraId="4505D1C0" w14:textId="77777777" w:rsidR="00F50D39" w:rsidRPr="00F00E9E" w:rsidRDefault="00F50D39" w:rsidP="00F50D39">
      <w:pPr>
        <w:pStyle w:val="BodyTextIndent3"/>
        <w:spacing w:line="240" w:lineRule="auto"/>
        <w:rPr>
          <w:rFonts w:cs="Arial"/>
          <w:color w:val="FF0000"/>
          <w:sz w:val="20"/>
          <w:szCs w:val="20"/>
        </w:rPr>
      </w:pPr>
      <w:proofErr w:type="spellStart"/>
      <w:r w:rsidRPr="00F50D39">
        <w:rPr>
          <w:rFonts w:cs="Arial"/>
          <w:sz w:val="20"/>
          <w:szCs w:val="20"/>
          <w:lang w:val="en-US"/>
        </w:rPr>
        <w:t>Motchenbacher</w:t>
      </w:r>
      <w:proofErr w:type="spellEnd"/>
      <w:r w:rsidRPr="00F50D39">
        <w:rPr>
          <w:rFonts w:cs="Arial"/>
          <w:sz w:val="20"/>
          <w:szCs w:val="20"/>
          <w:lang w:val="en-US"/>
        </w:rPr>
        <w:t xml:space="preserve">, C. D. &amp; Connelly, J. A. (1993). Low-Noise Electronic System Design, USA. </w:t>
      </w:r>
      <w:r w:rsidRPr="00F00E9E">
        <w:rPr>
          <w:rFonts w:cs="Arial"/>
          <w:sz w:val="20"/>
          <w:szCs w:val="20"/>
        </w:rPr>
        <w:t>Obtenido de:  https://www.wiley.com/en-sg/Low+Noise+Electronic+System+Design-p-780471577423</w:t>
      </w:r>
    </w:p>
    <w:p w14:paraId="0B4C9EA6" w14:textId="77777777" w:rsidR="00F50D39" w:rsidRPr="00F00E9E" w:rsidRDefault="00F50D39" w:rsidP="00F50D39">
      <w:pPr>
        <w:pStyle w:val="BodyTextIndent2"/>
        <w:spacing w:line="240" w:lineRule="auto"/>
        <w:rPr>
          <w:rFonts w:cs="Arial"/>
          <w:szCs w:val="20"/>
        </w:rPr>
      </w:pPr>
      <w:r w:rsidRPr="00F00E9E">
        <w:rPr>
          <w:rFonts w:cs="Arial"/>
          <w:szCs w:val="20"/>
        </w:rPr>
        <w:t>Mújica-Ascencio, S. (2011).  Adquisición de Señales EEG con Electrodos No- Invasivos de Alta Sensibilidad. [Tesis de Maestría] SEPI ESIME Zacatenco. Obtenido de:</w:t>
      </w:r>
    </w:p>
    <w:p w14:paraId="156F0F5D" w14:textId="77777777" w:rsidR="00F50D39" w:rsidRPr="00F00E9E" w:rsidRDefault="00F50D39" w:rsidP="00F50D39">
      <w:pPr>
        <w:pStyle w:val="BodyTextIndent2"/>
        <w:spacing w:line="240" w:lineRule="auto"/>
        <w:rPr>
          <w:rFonts w:cs="Arial"/>
          <w:szCs w:val="20"/>
        </w:rPr>
      </w:pPr>
      <w:r w:rsidRPr="00F00E9E">
        <w:rPr>
          <w:rFonts w:cs="Arial"/>
          <w:szCs w:val="20"/>
        </w:rPr>
        <w:t>https://tesis.ipn.mx/handle/123456789/17791</w:t>
      </w:r>
    </w:p>
    <w:p w14:paraId="60AD1A15" w14:textId="77777777" w:rsidR="00F50D39" w:rsidRPr="00151603" w:rsidRDefault="00F50D39" w:rsidP="00F50D39">
      <w:pPr>
        <w:pStyle w:val="Default"/>
        <w:ind w:left="709" w:hanging="709"/>
        <w:rPr>
          <w:bCs/>
          <w:sz w:val="20"/>
          <w:szCs w:val="20"/>
          <w:lang w:val="es-419"/>
        </w:rPr>
      </w:pPr>
      <w:proofErr w:type="spellStart"/>
      <w:r w:rsidRPr="00F50D39">
        <w:rPr>
          <w:sz w:val="20"/>
          <w:szCs w:val="20"/>
          <w:lang w:val="en-US"/>
        </w:rPr>
        <w:t>MyoWare</w:t>
      </w:r>
      <w:proofErr w:type="spellEnd"/>
      <w:r w:rsidRPr="00F50D39">
        <w:rPr>
          <w:sz w:val="20"/>
          <w:szCs w:val="20"/>
          <w:lang w:val="en-US"/>
        </w:rPr>
        <w:t xml:space="preserve"> Muscle Senso (2015). 3-lead Muscle / Electromyography Sensor for Microcontroller Applications. </w:t>
      </w:r>
      <w:r w:rsidRPr="00F00E9E">
        <w:rPr>
          <w:sz w:val="20"/>
          <w:szCs w:val="20"/>
        </w:rPr>
        <w:t>Obtenido de:</w:t>
      </w:r>
      <w:r>
        <w:rPr>
          <w:sz w:val="20"/>
          <w:szCs w:val="20"/>
        </w:rPr>
        <w:t xml:space="preserve"> </w:t>
      </w:r>
      <w:hyperlink r:id="rId40" w:history="1">
        <w:r w:rsidRPr="00151603">
          <w:rPr>
            <w:rStyle w:val="Hyperlink"/>
            <w:bCs/>
            <w:sz w:val="20"/>
            <w:szCs w:val="20"/>
            <w:lang w:val="es-419"/>
          </w:rPr>
          <w:t>www.AdvancerTechnologies.com</w:t>
        </w:r>
      </w:hyperlink>
    </w:p>
    <w:p w14:paraId="6BCE736A" w14:textId="77777777" w:rsidR="00F50D39" w:rsidRPr="00F00E9E" w:rsidRDefault="00F50D39" w:rsidP="00F50D39">
      <w:pPr>
        <w:autoSpaceDE w:val="0"/>
        <w:autoSpaceDN w:val="0"/>
        <w:adjustRightInd w:val="0"/>
        <w:spacing w:after="0" w:line="240" w:lineRule="auto"/>
        <w:ind w:left="720" w:hanging="720"/>
        <w:jc w:val="both"/>
        <w:rPr>
          <w:rFonts w:cs="Arial"/>
          <w:szCs w:val="20"/>
        </w:rPr>
      </w:pPr>
      <w:r w:rsidRPr="00F00E9E">
        <w:rPr>
          <w:rFonts w:cs="Arial"/>
          <w:szCs w:val="20"/>
        </w:rPr>
        <w:t>Varela-Benítez, J.</w:t>
      </w:r>
      <w:r>
        <w:rPr>
          <w:rFonts w:cs="Arial"/>
          <w:szCs w:val="20"/>
        </w:rPr>
        <w:t xml:space="preserve"> </w:t>
      </w:r>
      <w:r w:rsidRPr="00F00E9E">
        <w:rPr>
          <w:rFonts w:cs="Arial"/>
          <w:szCs w:val="20"/>
        </w:rPr>
        <w:t>L., Rivera-Delgado, J.</w:t>
      </w:r>
      <w:r>
        <w:rPr>
          <w:rFonts w:cs="Arial"/>
          <w:szCs w:val="20"/>
        </w:rPr>
        <w:t xml:space="preserve"> </w:t>
      </w:r>
      <w:r w:rsidRPr="00F00E9E">
        <w:rPr>
          <w:rFonts w:cs="Arial"/>
          <w:szCs w:val="20"/>
        </w:rPr>
        <w:t>O., Espina-Hernández, J. H. &amp; De la Rosa-Vázquez, J. M. (2015). Electrodo capacitivo de alta sensibilidad para la detección de biopotenciales eléctricos. </w:t>
      </w:r>
      <w:r w:rsidRPr="00F00E9E">
        <w:rPr>
          <w:rFonts w:cs="Arial"/>
          <w:i/>
          <w:iCs/>
          <w:szCs w:val="20"/>
        </w:rPr>
        <w:t>Revista mexicana de ingeniería biomédica</w:t>
      </w:r>
      <w:r w:rsidRPr="00F00E9E">
        <w:rPr>
          <w:rFonts w:cs="Arial"/>
          <w:szCs w:val="20"/>
        </w:rPr>
        <w:t>, </w:t>
      </w:r>
      <w:r w:rsidRPr="00F00E9E">
        <w:rPr>
          <w:rFonts w:cs="Arial"/>
          <w:i/>
          <w:iCs/>
          <w:szCs w:val="20"/>
        </w:rPr>
        <w:t>36</w:t>
      </w:r>
      <w:r w:rsidRPr="00F00E9E">
        <w:rPr>
          <w:rFonts w:cs="Arial"/>
          <w:szCs w:val="20"/>
        </w:rPr>
        <w:t>(2), 131-142. Obtenido de: </w:t>
      </w:r>
    </w:p>
    <w:p w14:paraId="6A2E96E7" w14:textId="77777777" w:rsidR="00F50D39" w:rsidRPr="00F00E9E" w:rsidRDefault="00F50D39" w:rsidP="00F50D39">
      <w:pPr>
        <w:autoSpaceDE w:val="0"/>
        <w:autoSpaceDN w:val="0"/>
        <w:adjustRightInd w:val="0"/>
        <w:spacing w:after="0" w:line="240" w:lineRule="auto"/>
        <w:ind w:left="720"/>
        <w:jc w:val="both"/>
        <w:rPr>
          <w:rFonts w:cs="Arial"/>
          <w:color w:val="FF0000"/>
          <w:szCs w:val="20"/>
        </w:rPr>
      </w:pPr>
      <w:hyperlink r:id="rId41" w:history="1">
        <w:r w:rsidRPr="00F00E9E">
          <w:rPr>
            <w:rStyle w:val="Hyperlink"/>
            <w:rFonts w:cs="Arial"/>
            <w:szCs w:val="20"/>
          </w:rPr>
          <w:t>https://doi.org/10.17488/RMIB.36.2.1pdf</w:t>
        </w:r>
      </w:hyperlink>
    </w:p>
    <w:p w14:paraId="185FFD41" w14:textId="77777777" w:rsidR="00F50D39" w:rsidRPr="00F00E9E" w:rsidRDefault="00F50D39" w:rsidP="00F50D39">
      <w:pPr>
        <w:autoSpaceDE w:val="0"/>
        <w:autoSpaceDN w:val="0"/>
        <w:adjustRightInd w:val="0"/>
        <w:spacing w:after="0" w:line="240" w:lineRule="auto"/>
        <w:ind w:left="709" w:hanging="709"/>
        <w:rPr>
          <w:rFonts w:cs="Arial"/>
          <w:szCs w:val="20"/>
        </w:rPr>
      </w:pPr>
      <w:r w:rsidRPr="00F00E9E">
        <w:rPr>
          <w:rFonts w:cs="Arial"/>
          <w:szCs w:val="20"/>
          <w:lang w:val="en-US"/>
        </w:rPr>
        <w:t xml:space="preserve">Tompkins, W. J. </w:t>
      </w:r>
      <w:r>
        <w:rPr>
          <w:rFonts w:cs="Arial"/>
          <w:szCs w:val="20"/>
          <w:lang w:val="en-US"/>
        </w:rPr>
        <w:t>(1993).</w:t>
      </w:r>
      <w:r w:rsidRPr="00F00E9E">
        <w:rPr>
          <w:rFonts w:cs="Arial"/>
          <w:szCs w:val="20"/>
          <w:lang w:val="en-US"/>
        </w:rPr>
        <w:t xml:space="preserve"> Biomedical Digital Signal Processing: C-Language Examples and Laboratory Experiments for the IBM PC, Englewood Cliffs, NJ., Prentice-Hall. </w:t>
      </w:r>
      <w:r w:rsidRPr="00F00E9E">
        <w:rPr>
          <w:rFonts w:cs="Arial"/>
          <w:szCs w:val="20"/>
        </w:rPr>
        <w:t xml:space="preserve">Obtenido de: </w:t>
      </w:r>
    </w:p>
    <w:p w14:paraId="35835837" w14:textId="77777777" w:rsidR="00F50D39" w:rsidRPr="00F00E9E" w:rsidRDefault="00F50D39" w:rsidP="00F50D39">
      <w:pPr>
        <w:autoSpaceDE w:val="0"/>
        <w:autoSpaceDN w:val="0"/>
        <w:adjustRightInd w:val="0"/>
        <w:spacing w:after="0" w:line="240" w:lineRule="auto"/>
        <w:ind w:left="709"/>
        <w:rPr>
          <w:rFonts w:cs="Arial"/>
          <w:szCs w:val="20"/>
        </w:rPr>
      </w:pPr>
      <w:r w:rsidRPr="00F00E9E">
        <w:rPr>
          <w:rFonts w:cs="Arial"/>
          <w:szCs w:val="20"/>
        </w:rPr>
        <w:t>https://www.academia.edu/42979171/BIOMEDICAL_DIGITAL_SIGNAL_PROCESSING_C_Language_Examples_and_Laboratory_Experiments_for_the_IBM_PC</w:t>
      </w:r>
    </w:p>
    <w:p w14:paraId="3A800225" w14:textId="77777777" w:rsidR="00F50D39" w:rsidRDefault="00F50D39" w:rsidP="00F169AC">
      <w:pPr>
        <w:spacing w:line="240" w:lineRule="auto"/>
        <w:jc w:val="both"/>
        <w:rPr>
          <w:rFonts w:cs="Arial"/>
          <w:szCs w:val="20"/>
        </w:rPr>
      </w:pPr>
    </w:p>
    <w:p w14:paraId="7E4A64BF" w14:textId="6A5AA9EC" w:rsidR="00143DE0" w:rsidRPr="00143DE0" w:rsidRDefault="00143DE0" w:rsidP="00F169AC">
      <w:pPr>
        <w:rPr>
          <w:rFonts w:cs="Arial"/>
        </w:rPr>
      </w:pPr>
    </w:p>
    <w:sectPr w:rsidR="00143DE0" w:rsidRPr="00143DE0" w:rsidSect="00651FD6">
      <w:headerReference w:type="default" r:id="rId42"/>
      <w:footerReference w:type="default" r:id="rId43"/>
      <w:footnotePr>
        <w:numRestart w:val="eachSect"/>
      </w:footnotePr>
      <w:pgSz w:w="12240" w:h="15840"/>
      <w:pgMar w:top="1418" w:right="1701" w:bottom="1985" w:left="1701" w:header="709" w:footer="1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A2BD3" w14:textId="77777777" w:rsidR="008265FE" w:rsidRDefault="008265FE" w:rsidP="00125450">
      <w:pPr>
        <w:spacing w:after="0" w:line="240" w:lineRule="auto"/>
      </w:pPr>
      <w:r>
        <w:separator/>
      </w:r>
    </w:p>
  </w:endnote>
  <w:endnote w:type="continuationSeparator" w:id="0">
    <w:p w14:paraId="224E8B04" w14:textId="77777777" w:rsidR="008265FE" w:rsidRDefault="008265FE" w:rsidP="00125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20B0604020202020204"/>
    <w:charset w:val="80"/>
    <w:family w:val="auto"/>
    <w:notTrueType/>
    <w:pitch w:val="default"/>
    <w:sig w:usb0="00000000" w:usb1="08070000" w:usb2="00000010" w:usb3="00000000" w:csb0="00020000" w:csb1="00000000"/>
  </w:font>
  <w:font w:name="Droid Sans Fallback">
    <w:altName w:val="Times New Roman"/>
    <w:panose1 w:val="020B0604020202020204"/>
    <w:charset w:val="00"/>
    <w:family w:val="roman"/>
    <w:notTrueType/>
    <w:pitch w:val="default"/>
  </w:font>
  <w:font w:name="Garamond">
    <w:panose1 w:val="02020404030301010803"/>
    <w:charset w:val="00"/>
    <w:family w:val="roman"/>
    <w:pitch w:val="variable"/>
    <w:sig w:usb0="00000287" w:usb1="00000002" w:usb2="00000000" w:usb3="00000000" w:csb0="0000009F" w:csb1="00000000"/>
  </w:font>
  <w:font w:name="Calibri Light,">
    <w:altName w:val="Times New Roman"/>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640555"/>
      <w:docPartObj>
        <w:docPartGallery w:val="Page Numbers (Bottom of Page)"/>
        <w:docPartUnique/>
      </w:docPartObj>
    </w:sdtPr>
    <w:sdtEndPr/>
    <w:sdtContent>
      <w:p w14:paraId="3D611CCE" w14:textId="6DC35F2B" w:rsidR="00816421" w:rsidRDefault="00D8722A" w:rsidP="00816421">
        <w:pPr>
          <w:pStyle w:val="Footer"/>
        </w:pPr>
        <w:r>
          <w:rPr>
            <w:noProof/>
            <w:lang w:eastAsia="es-MX"/>
          </w:rPr>
          <mc:AlternateContent>
            <mc:Choice Requires="wps">
              <w:drawing>
                <wp:anchor distT="0" distB="0" distL="114300" distR="114300" simplePos="0" relativeHeight="251788288" behindDoc="1" locked="0" layoutInCell="1" allowOverlap="1" wp14:anchorId="61098680" wp14:editId="7B26F0D9">
                  <wp:simplePos x="0" y="0"/>
                  <wp:positionH relativeFrom="page">
                    <wp:align>right</wp:align>
                  </wp:positionH>
                  <wp:positionV relativeFrom="page">
                    <wp:align>bottom</wp:align>
                  </wp:positionV>
                  <wp:extent cx="7839075" cy="949713"/>
                  <wp:effectExtent l="0" t="0" r="9525" b="3175"/>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075" cy="949713"/>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A70CC" w14:textId="527BAA7E" w:rsidR="00651FD6" w:rsidRDefault="00651FD6" w:rsidP="00651FD6">
                              <w:pPr>
                                <w:spacing w:line="232" w:lineRule="exact"/>
                                <w:ind w:right="-5"/>
                                <w:rPr>
                                  <w:rFonts w:ascii="Segoe UI" w:hAnsi="Segoe UI"/>
                                  <w:b/>
                                </w:rPr>
                              </w:pPr>
                            </w:p>
                            <w:p w14:paraId="3566F5F8" w14:textId="5945E42A" w:rsidR="00651FD6" w:rsidRDefault="00651FD6" w:rsidP="00651FD6">
                              <w:pPr>
                                <w:spacing w:after="0" w:line="240" w:lineRule="auto"/>
                                <w:ind w:left="1701" w:right="1711"/>
                                <w:jc w:val="right"/>
                                <w:rPr>
                                  <w:rFonts w:ascii="Segoe UI" w:hAnsi="Segoe UI"/>
                                  <w:b/>
                                </w:rPr>
                              </w:pPr>
                              <w:r w:rsidRPr="002C6AE7">
                                <w:rPr>
                                  <w:noProof/>
                                </w:rPr>
                                <w:drawing>
                                  <wp:inline distT="0" distB="0" distL="0" distR="0" wp14:anchorId="694EFC17" wp14:editId="162A0095">
                                    <wp:extent cx="838200" cy="29527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38200" cy="295275"/>
                                            </a:xfrm>
                                            <a:prstGeom prst="rect">
                                              <a:avLst/>
                                            </a:prstGeom>
                                          </pic:spPr>
                                        </pic:pic>
                                      </a:graphicData>
                                    </a:graphic>
                                  </wp:inline>
                                </w:drawing>
                              </w:r>
                            </w:p>
                            <w:p w14:paraId="5FCCBC66" w14:textId="05FA5B42" w:rsidR="00651FD6" w:rsidRDefault="00651FD6" w:rsidP="00651FD6">
                              <w:pPr>
                                <w:spacing w:after="0" w:line="232" w:lineRule="exact"/>
                                <w:ind w:left="1701" w:right="1704"/>
                                <w:rPr>
                                  <w:rFonts w:ascii="Segoe UI" w:hAnsi="Segoe UI"/>
                                  <w:b/>
                                </w:rPr>
                              </w:pPr>
                              <w:r w:rsidRPr="00295A48">
                                <w:rPr>
                                  <w:rFonts w:ascii="Segoe UI" w:hAnsi="Segoe UI"/>
                                  <w:b/>
                                </w:rPr>
                                <w:t>Multidisciplinas de la Ingeniería</w:t>
                              </w:r>
                              <w:r>
                                <w:rPr>
                                  <w:rFonts w:ascii="Segoe UI" w:hAnsi="Segoe UI"/>
                                  <w:b/>
                                </w:rPr>
                                <w:tab/>
                                <w:t xml:space="preserve">           </w:t>
                              </w:r>
                              <w:r w:rsidR="002962D4">
                                <w:rPr>
                                  <w:rFonts w:ascii="Segoe UI" w:hAnsi="Segoe UI"/>
                                  <w:b/>
                                </w:rPr>
                                <w:tab/>
                              </w:r>
                              <w:r w:rsidR="00F169AC">
                                <w:rPr>
                                  <w:rFonts w:ascii="Segoe UI" w:hAnsi="Segoe UI"/>
                                  <w:b/>
                                </w:rPr>
                                <w:t xml:space="preserve">           </w:t>
                              </w:r>
                              <w:r>
                                <w:rPr>
                                  <w:rFonts w:ascii="Segoe UI" w:hAnsi="Segoe UI"/>
                                  <w:b/>
                                </w:rPr>
                                <w:t xml:space="preserve">EISSN: 2395-843X. Año </w:t>
                              </w:r>
                              <w:r w:rsidR="002962D4">
                                <w:rPr>
                                  <w:rFonts w:ascii="Segoe UI" w:hAnsi="Segoe UI"/>
                                  <w:b/>
                                </w:rPr>
                                <w:t>X</w:t>
                              </w:r>
                              <w:r w:rsidR="00B8497C">
                                <w:rPr>
                                  <w:rFonts w:ascii="Segoe UI" w:hAnsi="Segoe UI"/>
                                  <w:b/>
                                </w:rPr>
                                <w:t>l</w:t>
                              </w:r>
                              <w:r w:rsidRPr="00295A48">
                                <w:rPr>
                                  <w:rFonts w:ascii="Segoe UI" w:hAnsi="Segoe UI"/>
                                  <w:b/>
                                </w:rPr>
                                <w:t>. No.</w:t>
                              </w:r>
                              <w:r>
                                <w:rPr>
                                  <w:rFonts w:ascii="Segoe UI" w:hAnsi="Segoe UI"/>
                                  <w:b/>
                                </w:rPr>
                                <w:t xml:space="preserve"> 1</w:t>
                              </w:r>
                              <w:r w:rsidR="00B8497C">
                                <w:rPr>
                                  <w:rFonts w:ascii="Segoe UI" w:hAnsi="Segoe UI"/>
                                  <w:b/>
                                </w:rPr>
                                <w:t>7</w:t>
                              </w:r>
                              <w:r>
                                <w:rPr>
                                  <w:rFonts w:ascii="Segoe UI" w:hAnsi="Segoe UI"/>
                                  <w:b/>
                                </w:rPr>
                                <w:t xml:space="preserve">. </w:t>
                              </w:r>
                              <w:r w:rsidR="00F169AC">
                                <w:rPr>
                                  <w:rFonts w:ascii="Segoe UI" w:hAnsi="Segoe UI"/>
                                  <w:b/>
                                </w:rPr>
                                <w:t>Mayo</w:t>
                              </w:r>
                              <w:r>
                                <w:rPr>
                                  <w:rFonts w:ascii="Segoe UI" w:hAnsi="Segoe UI"/>
                                  <w:b/>
                                </w:rPr>
                                <w:t>, 20</w:t>
                              </w:r>
                              <w:r w:rsidR="000D1FB5">
                                <w:rPr>
                                  <w:rFonts w:ascii="Segoe UI" w:hAnsi="Segoe UI"/>
                                  <w:b/>
                                </w:rPr>
                                <w:t>2</w:t>
                              </w:r>
                              <w:r w:rsidR="00B8497C">
                                <w:rPr>
                                  <w:rFonts w:ascii="Segoe UI" w:hAnsi="Segoe UI"/>
                                  <w:b/>
                                </w:rPr>
                                <w:t>3</w:t>
                              </w:r>
                            </w:p>
                            <w:p w14:paraId="4C647A23" w14:textId="5278A7FB" w:rsidR="00651FD6" w:rsidRDefault="00D80C78" w:rsidP="00651FD6">
                              <w:pPr>
                                <w:spacing w:after="0" w:line="232" w:lineRule="exact"/>
                                <w:ind w:left="1701" w:right="1704"/>
                                <w:rPr>
                                  <w:rFonts w:ascii="Segoe UI" w:hAnsi="Segoe UI"/>
                                  <w:b/>
                                </w:rPr>
                              </w:pPr>
                              <w:hyperlink r:id="rId2" w:history="1">
                                <w:r w:rsidR="000D1FB5" w:rsidRPr="00F37358">
                                  <w:rPr>
                                    <w:rStyle w:val="Hyperlink"/>
                                  </w:rPr>
                                  <w:t>http://www.multidisciplinasdelaingenieria.com</w:t>
                                </w:r>
                              </w:hyperlink>
                              <w:r w:rsidR="00651FD6">
                                <w:rPr>
                                  <w:rFonts w:ascii="Segoe UI" w:hAnsi="Segoe UI"/>
                                  <w:b/>
                                </w:rPr>
                                <w:tab/>
                              </w:r>
                              <w:r w:rsidR="00651FD6">
                                <w:rPr>
                                  <w:rFonts w:ascii="Segoe UI" w:hAnsi="Segoe UI"/>
                                  <w:b/>
                                </w:rPr>
                                <w:tab/>
                                <w:t xml:space="preserve">    </w:t>
                              </w:r>
                              <w:r w:rsidR="00651FD6">
                                <w:rPr>
                                  <w:rFonts w:ascii="Segoe UI" w:hAnsi="Segoe UI"/>
                                  <w:b/>
                                </w:rPr>
                                <w:tab/>
                                <w:t xml:space="preserve">       </w:t>
                              </w:r>
                              <w:r w:rsidR="000D1FB5">
                                <w:rPr>
                                  <w:rFonts w:ascii="Segoe UI" w:hAnsi="Segoe UI"/>
                                  <w:b/>
                                </w:rPr>
                                <w:tab/>
                                <w:t xml:space="preserve">        </w:t>
                              </w:r>
                              <w:r w:rsidR="00651FD6">
                                <w:rPr>
                                  <w:rFonts w:ascii="Segoe UI" w:hAnsi="Segoe UI"/>
                                  <w:b/>
                                </w:rPr>
                                <w:t xml:space="preserve">        </w:t>
                              </w:r>
                              <w:r w:rsidR="00651FD6" w:rsidRPr="00295A48">
                                <w:rPr>
                                  <w:rFonts w:ascii="Segoe UI" w:hAnsi="Segoe UI"/>
                                  <w:b/>
                                </w:rPr>
                                <w:t>FIME - UANL</w:t>
                              </w:r>
                            </w:p>
                            <w:p w14:paraId="1A15DB74" w14:textId="77777777" w:rsidR="00651FD6" w:rsidRPr="00295A48" w:rsidRDefault="00651FD6" w:rsidP="00651FD6">
                              <w:pPr>
                                <w:spacing w:after="0" w:line="232" w:lineRule="exact"/>
                                <w:ind w:right="1704"/>
                                <w:rPr>
                                  <w:rFonts w:ascii="Segoe UI" w:hAnsi="Segoe UI"/>
                                  <w:b/>
                                </w:rPr>
                              </w:pPr>
                            </w:p>
                            <w:p w14:paraId="0C2ED03D" w14:textId="0735AC0B" w:rsidR="00816421" w:rsidRDefault="00816421" w:rsidP="00816421">
                              <w:pPr>
                                <w:spacing w:line="232" w:lineRule="exact"/>
                                <w:ind w:left="740" w:right="-5" w:firstLine="700"/>
                                <w:rPr>
                                  <w:rFonts w:ascii="Segoe UI" w:hAnsi="Segoe UI"/>
                                  <w:b/>
                                </w:rPr>
                              </w:pPr>
                            </w:p>
                            <w:p w14:paraId="3115C5D0" w14:textId="2B528FA9" w:rsidR="00651FD6" w:rsidRDefault="00651FD6" w:rsidP="00816421">
                              <w:pPr>
                                <w:spacing w:line="232" w:lineRule="exact"/>
                                <w:ind w:left="740" w:right="-5" w:firstLine="700"/>
                                <w:rPr>
                                  <w:rFonts w:ascii="Segoe UI" w:hAnsi="Segoe UI"/>
                                  <w:b/>
                                </w:rPr>
                              </w:pPr>
                            </w:p>
                            <w:p w14:paraId="195E0ABB" w14:textId="77777777" w:rsidR="00651FD6" w:rsidRPr="00295A48" w:rsidRDefault="00651FD6" w:rsidP="00816421">
                              <w:pPr>
                                <w:spacing w:line="232" w:lineRule="exact"/>
                                <w:ind w:left="740" w:right="-5" w:firstLine="700"/>
                                <w:rPr>
                                  <w:rFonts w:ascii="Segoe UI" w:hAnsi="Segoe UI"/>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8680" id="_x0000_t202" coordsize="21600,21600" o:spt="202" path="m,l,21600r21600,l21600,xe">
                  <v:stroke joinstyle="miter"/>
                  <v:path gradientshapeok="t" o:connecttype="rect"/>
                </v:shapetype>
                <v:shape id="Cuadro de texto 45" o:spid="_x0000_s1027" type="#_x0000_t202" style="position:absolute;margin-left:566.05pt;margin-top:0;width:617.25pt;height:74.8pt;z-index:-2515281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" fillcolor="#92d050" stroked="f">
                  <v:textbox inset="0,0,0,0">
                    <w:txbxContent>
                      <w:p w14:paraId="063A70CC" w14:textId="527BAA7E" w:rsidR="00651FD6" w:rsidRDefault="00651FD6" w:rsidP="00651FD6">
                        <w:pPr>
                          <w:spacing w:line="232" w:lineRule="exact"/>
                          <w:ind w:right="-5"/>
                          <w:rPr>
                            <w:rFonts w:ascii="Segoe UI" w:hAnsi="Segoe UI"/>
                            <w:b/>
                          </w:rPr>
                        </w:pPr>
                      </w:p>
                      <w:p w14:paraId="3566F5F8" w14:textId="5945E42A" w:rsidR="00651FD6" w:rsidRDefault="00651FD6" w:rsidP="00651FD6">
                        <w:pPr>
                          <w:spacing w:after="0" w:line="240" w:lineRule="auto"/>
                          <w:ind w:left="1701" w:right="1711"/>
                          <w:jc w:val="right"/>
                          <w:rPr>
                            <w:rFonts w:ascii="Segoe UI" w:hAnsi="Segoe UI"/>
                            <w:b/>
                          </w:rPr>
                        </w:pPr>
                        <w:r w:rsidRPr="002C6AE7">
                          <w:rPr>
                            <w:noProof/>
                          </w:rPr>
                          <w:drawing>
                            <wp:inline distT="0" distB="0" distL="0" distR="0" wp14:anchorId="694EFC17" wp14:editId="162A0095">
                              <wp:extent cx="838200" cy="29527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38200" cy="295275"/>
                                      </a:xfrm>
                                      <a:prstGeom prst="rect">
                                        <a:avLst/>
                                      </a:prstGeom>
                                    </pic:spPr>
                                  </pic:pic>
                                </a:graphicData>
                              </a:graphic>
                            </wp:inline>
                          </w:drawing>
                        </w:r>
                      </w:p>
                      <w:p w14:paraId="5FCCBC66" w14:textId="05FA5B42" w:rsidR="00651FD6" w:rsidRDefault="00651FD6" w:rsidP="00651FD6">
                        <w:pPr>
                          <w:spacing w:after="0" w:line="232" w:lineRule="exact"/>
                          <w:ind w:left="1701" w:right="1704"/>
                          <w:rPr>
                            <w:rFonts w:ascii="Segoe UI" w:hAnsi="Segoe UI"/>
                            <w:b/>
                          </w:rPr>
                        </w:pPr>
                        <w:r w:rsidRPr="00295A48">
                          <w:rPr>
                            <w:rFonts w:ascii="Segoe UI" w:hAnsi="Segoe UI"/>
                            <w:b/>
                          </w:rPr>
                          <w:t>Multidisciplinas de la Ingeniería</w:t>
                        </w:r>
                        <w:r>
                          <w:rPr>
                            <w:rFonts w:ascii="Segoe UI" w:hAnsi="Segoe UI"/>
                            <w:b/>
                          </w:rPr>
                          <w:tab/>
                          <w:t xml:space="preserve">           </w:t>
                        </w:r>
                        <w:r w:rsidR="002962D4">
                          <w:rPr>
                            <w:rFonts w:ascii="Segoe UI" w:hAnsi="Segoe UI"/>
                            <w:b/>
                          </w:rPr>
                          <w:tab/>
                        </w:r>
                        <w:r w:rsidR="00F169AC">
                          <w:rPr>
                            <w:rFonts w:ascii="Segoe UI" w:hAnsi="Segoe UI"/>
                            <w:b/>
                          </w:rPr>
                          <w:t xml:space="preserve">           </w:t>
                        </w:r>
                        <w:r>
                          <w:rPr>
                            <w:rFonts w:ascii="Segoe UI" w:hAnsi="Segoe UI"/>
                            <w:b/>
                          </w:rPr>
                          <w:t xml:space="preserve">EISSN: 2395-843X. Año </w:t>
                        </w:r>
                        <w:r w:rsidR="002962D4">
                          <w:rPr>
                            <w:rFonts w:ascii="Segoe UI" w:hAnsi="Segoe UI"/>
                            <w:b/>
                          </w:rPr>
                          <w:t>X</w:t>
                        </w:r>
                        <w:r w:rsidR="00B8497C">
                          <w:rPr>
                            <w:rFonts w:ascii="Segoe UI" w:hAnsi="Segoe UI"/>
                            <w:b/>
                          </w:rPr>
                          <w:t>l</w:t>
                        </w:r>
                        <w:r w:rsidRPr="00295A48">
                          <w:rPr>
                            <w:rFonts w:ascii="Segoe UI" w:hAnsi="Segoe UI"/>
                            <w:b/>
                          </w:rPr>
                          <w:t>. No.</w:t>
                        </w:r>
                        <w:r>
                          <w:rPr>
                            <w:rFonts w:ascii="Segoe UI" w:hAnsi="Segoe UI"/>
                            <w:b/>
                          </w:rPr>
                          <w:t xml:space="preserve"> 1</w:t>
                        </w:r>
                        <w:r w:rsidR="00B8497C">
                          <w:rPr>
                            <w:rFonts w:ascii="Segoe UI" w:hAnsi="Segoe UI"/>
                            <w:b/>
                          </w:rPr>
                          <w:t>7</w:t>
                        </w:r>
                        <w:r>
                          <w:rPr>
                            <w:rFonts w:ascii="Segoe UI" w:hAnsi="Segoe UI"/>
                            <w:b/>
                          </w:rPr>
                          <w:t xml:space="preserve">. </w:t>
                        </w:r>
                        <w:r w:rsidR="00F169AC">
                          <w:rPr>
                            <w:rFonts w:ascii="Segoe UI" w:hAnsi="Segoe UI"/>
                            <w:b/>
                          </w:rPr>
                          <w:t>Mayo</w:t>
                        </w:r>
                        <w:r>
                          <w:rPr>
                            <w:rFonts w:ascii="Segoe UI" w:hAnsi="Segoe UI"/>
                            <w:b/>
                          </w:rPr>
                          <w:t>, 20</w:t>
                        </w:r>
                        <w:r w:rsidR="000D1FB5">
                          <w:rPr>
                            <w:rFonts w:ascii="Segoe UI" w:hAnsi="Segoe UI"/>
                            <w:b/>
                          </w:rPr>
                          <w:t>2</w:t>
                        </w:r>
                        <w:r w:rsidR="00B8497C">
                          <w:rPr>
                            <w:rFonts w:ascii="Segoe UI" w:hAnsi="Segoe UI"/>
                            <w:b/>
                          </w:rPr>
                          <w:t>3</w:t>
                        </w:r>
                      </w:p>
                      <w:p w14:paraId="4C647A23" w14:textId="5278A7FB" w:rsidR="00651FD6" w:rsidRDefault="00D80C78" w:rsidP="00651FD6">
                        <w:pPr>
                          <w:spacing w:after="0" w:line="232" w:lineRule="exact"/>
                          <w:ind w:left="1701" w:right="1704"/>
                          <w:rPr>
                            <w:rFonts w:ascii="Segoe UI" w:hAnsi="Segoe UI"/>
                            <w:b/>
                          </w:rPr>
                        </w:pPr>
                        <w:hyperlink r:id="rId3" w:history="1">
                          <w:r w:rsidR="000D1FB5" w:rsidRPr="00F37358">
                            <w:rPr>
                              <w:rStyle w:val="Hyperlink"/>
                            </w:rPr>
                            <w:t>http://www.multidisciplinasdelaingenieria.com</w:t>
                          </w:r>
                        </w:hyperlink>
                        <w:r w:rsidR="00651FD6">
                          <w:rPr>
                            <w:rFonts w:ascii="Segoe UI" w:hAnsi="Segoe UI"/>
                            <w:b/>
                          </w:rPr>
                          <w:tab/>
                        </w:r>
                        <w:r w:rsidR="00651FD6">
                          <w:rPr>
                            <w:rFonts w:ascii="Segoe UI" w:hAnsi="Segoe UI"/>
                            <w:b/>
                          </w:rPr>
                          <w:tab/>
                          <w:t xml:space="preserve">    </w:t>
                        </w:r>
                        <w:r w:rsidR="00651FD6">
                          <w:rPr>
                            <w:rFonts w:ascii="Segoe UI" w:hAnsi="Segoe UI"/>
                            <w:b/>
                          </w:rPr>
                          <w:tab/>
                          <w:t xml:space="preserve">       </w:t>
                        </w:r>
                        <w:r w:rsidR="000D1FB5">
                          <w:rPr>
                            <w:rFonts w:ascii="Segoe UI" w:hAnsi="Segoe UI"/>
                            <w:b/>
                          </w:rPr>
                          <w:tab/>
                          <w:t xml:space="preserve">        </w:t>
                        </w:r>
                        <w:r w:rsidR="00651FD6">
                          <w:rPr>
                            <w:rFonts w:ascii="Segoe UI" w:hAnsi="Segoe UI"/>
                            <w:b/>
                          </w:rPr>
                          <w:t xml:space="preserve">        </w:t>
                        </w:r>
                        <w:r w:rsidR="00651FD6" w:rsidRPr="00295A48">
                          <w:rPr>
                            <w:rFonts w:ascii="Segoe UI" w:hAnsi="Segoe UI"/>
                            <w:b/>
                          </w:rPr>
                          <w:t>FIME - UANL</w:t>
                        </w:r>
                      </w:p>
                      <w:p w14:paraId="1A15DB74" w14:textId="77777777" w:rsidR="00651FD6" w:rsidRPr="00295A48" w:rsidRDefault="00651FD6" w:rsidP="00651FD6">
                        <w:pPr>
                          <w:spacing w:after="0" w:line="232" w:lineRule="exact"/>
                          <w:ind w:right="1704"/>
                          <w:rPr>
                            <w:rFonts w:ascii="Segoe UI" w:hAnsi="Segoe UI"/>
                            <w:b/>
                          </w:rPr>
                        </w:pPr>
                      </w:p>
                      <w:p w14:paraId="0C2ED03D" w14:textId="0735AC0B" w:rsidR="00816421" w:rsidRDefault="00816421" w:rsidP="00816421">
                        <w:pPr>
                          <w:spacing w:line="232" w:lineRule="exact"/>
                          <w:ind w:left="740" w:right="-5" w:firstLine="700"/>
                          <w:rPr>
                            <w:rFonts w:ascii="Segoe UI" w:hAnsi="Segoe UI"/>
                            <w:b/>
                          </w:rPr>
                        </w:pPr>
                      </w:p>
                      <w:p w14:paraId="3115C5D0" w14:textId="2B528FA9" w:rsidR="00651FD6" w:rsidRDefault="00651FD6" w:rsidP="00816421">
                        <w:pPr>
                          <w:spacing w:line="232" w:lineRule="exact"/>
                          <w:ind w:left="740" w:right="-5" w:firstLine="700"/>
                          <w:rPr>
                            <w:rFonts w:ascii="Segoe UI" w:hAnsi="Segoe UI"/>
                            <w:b/>
                          </w:rPr>
                        </w:pPr>
                      </w:p>
                      <w:p w14:paraId="195E0ABB" w14:textId="77777777" w:rsidR="00651FD6" w:rsidRPr="00295A48" w:rsidRDefault="00651FD6" w:rsidP="00816421">
                        <w:pPr>
                          <w:spacing w:line="232" w:lineRule="exact"/>
                          <w:ind w:left="740" w:right="-5" w:firstLine="700"/>
                          <w:rPr>
                            <w:rFonts w:ascii="Segoe UI" w:hAnsi="Segoe UI"/>
                            <w:b/>
                          </w:rPr>
                        </w:pPr>
                      </w:p>
                    </w:txbxContent>
                  </v:textbox>
                  <w10:wrap anchorx="page" anchory="page"/>
                </v:shape>
              </w:pict>
            </mc:Fallback>
          </mc:AlternateContent>
        </w:r>
        <w:r w:rsidR="00651FD6">
          <w:rPr>
            <w:noProof/>
            <w:lang w:eastAsia="es-MX"/>
          </w:rPr>
          <mc:AlternateContent>
            <mc:Choice Requires="wpg">
              <w:drawing>
                <wp:anchor distT="0" distB="0" distL="114300" distR="114300" simplePos="0" relativeHeight="251787264" behindDoc="0" locked="0" layoutInCell="1" allowOverlap="1" wp14:anchorId="6E655EF3" wp14:editId="7BA82FA1">
                  <wp:simplePos x="0" y="0"/>
                  <wp:positionH relativeFrom="page">
                    <wp:posOffset>0</wp:posOffset>
                  </wp:positionH>
                  <wp:positionV relativeFrom="paragraph">
                    <wp:posOffset>95885</wp:posOffset>
                  </wp:positionV>
                  <wp:extent cx="7753350" cy="190500"/>
                  <wp:effectExtent l="0" t="0" r="19050" b="19050"/>
                  <wp:wrapNone/>
                  <wp:docPr id="40"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41" name="Text Box 25"/>
                          <wps:cNvSpPr txBox="1">
                            <a:spLocks noChangeArrowheads="1"/>
                          </wps:cNvSpPr>
                          <wps:spPr bwMode="auto">
                            <a:xfrm>
                              <a:off x="10803" y="14982"/>
                              <a:ext cx="659" cy="288"/>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0AACFF" w14:textId="77777777" w:rsidR="00816421" w:rsidRPr="00DE42A6" w:rsidRDefault="00816421" w:rsidP="00816421">
                                <w:pPr>
                                  <w:jc w:val="center"/>
                                  <w:rPr>
                                    <w:b/>
                                  </w:rPr>
                                </w:pPr>
                                <w:r w:rsidRPr="00DE42A6">
                                  <w:rPr>
                                    <w:b/>
                                  </w:rPr>
                                  <w:fldChar w:fldCharType="begin"/>
                                </w:r>
                                <w:r w:rsidRPr="00DE42A6">
                                  <w:rPr>
                                    <w:b/>
                                  </w:rPr>
                                  <w:instrText>PAGE    \* MERGEFORMAT</w:instrText>
                                </w:r>
                                <w:r w:rsidRPr="00DE42A6">
                                  <w:rPr>
                                    <w:b/>
                                  </w:rPr>
                                  <w:fldChar w:fldCharType="separate"/>
                                </w:r>
                                <w:r w:rsidRPr="00432859">
                                  <w:rPr>
                                    <w:b/>
                                    <w:noProof/>
                                    <w:lang w:val="es-ES"/>
                                  </w:rPr>
                                  <w:t>74</w:t>
                                </w:r>
                                <w:r w:rsidRPr="00DE42A6">
                                  <w:rPr>
                                    <w:b/>
                                  </w:rPr>
                                  <w:fldChar w:fldCharType="end"/>
                                </w:r>
                              </w:p>
                            </w:txbxContent>
                          </wps:txbx>
                          <wps:bodyPr rot="0" vert="horz" wrap="square" lIns="0" tIns="0" rIns="0" bIns="0" anchor="t" anchorCtr="0" upright="1">
                            <a:noAutofit/>
                          </wps:bodyPr>
                        </wps:wsp>
                        <wpg:grpSp>
                          <wpg:cNvPr id="42" name="Group 31"/>
                          <wpg:cNvGrpSpPr>
                            <a:grpSpLocks/>
                          </wpg:cNvGrpSpPr>
                          <wpg:grpSpPr bwMode="auto">
                            <a:xfrm flipH="1">
                              <a:off x="0" y="14970"/>
                              <a:ext cx="12255" cy="230"/>
                              <a:chOff x="-8" y="14978"/>
                              <a:chExt cx="12255" cy="230"/>
                            </a:xfrm>
                          </wpg:grpSpPr>
                          <wps:wsp>
                            <wps:cNvPr id="43" name="AutoShape 27"/>
                            <wps:cNvCnPr>
                              <a:cxnSpLocks noChangeShapeType="1"/>
                            </wps:cNvCnPr>
                            <wps:spPr bwMode="auto">
                              <a:xfrm flipV="1">
                                <a:off x="-8" y="14978"/>
                                <a:ext cx="1260" cy="230"/>
                              </a:xfrm>
                              <a:prstGeom prst="bentConnector3">
                                <a:avLst>
                                  <a:gd name="adj1" fmla="val 50000"/>
                                </a:avLst>
                              </a:prstGeom>
                              <a:noFill/>
                              <a:ln w="15875">
                                <a:solidFill>
                                  <a:schemeClr val="tx1"/>
                                </a:solidFill>
                                <a:miter lim="800000"/>
                                <a:headEnd/>
                                <a:tailEnd/>
                              </a:ln>
                              <a:extLst>
                                <a:ext uri="{909E8E84-426E-40DD-AFC4-6F175D3DCCD1}">
                                  <a14:hiddenFill xmlns:a14="http://schemas.microsoft.com/office/drawing/2010/main">
                                    <a:noFill/>
                                  </a14:hiddenFill>
                                </a:ext>
                              </a:extLst>
                            </wps:spPr>
                            <wps:bodyPr/>
                          </wps:wsp>
                          <wps:wsp>
                            <wps:cNvPr id="44" name="AutoShape 28"/>
                            <wps:cNvCnPr>
                              <a:cxnSpLocks noChangeShapeType="1"/>
                            </wps:cNvCnPr>
                            <wps:spPr bwMode="auto">
                              <a:xfrm rot="10800000">
                                <a:off x="1252" y="14978"/>
                                <a:ext cx="10995" cy="230"/>
                              </a:xfrm>
                              <a:prstGeom prst="bentConnector3">
                                <a:avLst>
                                  <a:gd name="adj1" fmla="val 96778"/>
                                </a:avLst>
                              </a:prstGeom>
                              <a:noFill/>
                              <a:ln w="15875">
                                <a:solidFill>
                                  <a:schemeClr val="tx1"/>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E655EF3" id="Grupo 40" o:spid="_x0000_s1028" style="position:absolute;margin-left:0;margin-top:7.55pt;width:610.5pt;height:15pt;z-index:251787264;mso-width-percent:1000;mso-position-horizontal-relative:page;mso-width-percent:1000" coordorigin=",14970" coordsize="12255,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">
                  <v:shape id="Text Box 25" o:spid="_x0000_s1029" type="#_x0000_t202" style="position:absolute;left:10803;top:14982;width:659;height: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" filled="f" strokeweight="1.25pt">
                    <v:textbox inset="0,0,0,0">
                      <w:txbxContent>
                        <w:p w14:paraId="000AACFF" w14:textId="77777777" w:rsidR="00816421" w:rsidRPr="00DE42A6" w:rsidRDefault="00816421" w:rsidP="00816421">
                          <w:pPr>
                            <w:jc w:val="center"/>
                            <w:rPr>
                              <w:b/>
                            </w:rPr>
                          </w:pPr>
                          <w:r w:rsidRPr="00DE42A6">
                            <w:rPr>
                              <w:b/>
                            </w:rPr>
                            <w:fldChar w:fldCharType="begin"/>
                          </w:r>
                          <w:r w:rsidRPr="00DE42A6">
                            <w:rPr>
                              <w:b/>
                            </w:rPr>
                            <w:instrText>PAGE    \* MERGEFORMAT</w:instrText>
                          </w:r>
                          <w:r w:rsidRPr="00DE42A6">
                            <w:rPr>
                              <w:b/>
                            </w:rPr>
                            <w:fldChar w:fldCharType="separate"/>
                          </w:r>
                          <w:r w:rsidRPr="00432859">
                            <w:rPr>
                              <w:b/>
                              <w:noProof/>
                              <w:lang w:val="es-ES"/>
                            </w:rPr>
                            <w:t>74</w:t>
                          </w:r>
                          <w:r w:rsidRPr="00DE42A6">
                            <w:rPr>
                              <w:b/>
                            </w:rPr>
                            <w:fldChar w:fldCharType="end"/>
                          </w:r>
                        </w:p>
                      </w:txbxContent>
                    </v:textbox>
                  </v:shape>
                  <v:group id="Group 31" o:spid="_x0000_s1030" style="position:absolute;top:14970;width:12255;height:230;flip:x" coordorigin="-8,14978" coordsize="12255,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&#13;&#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" strokecolor="black [3213]" strokeweight="1.25pt"/>
                    <v:shape id="AutoShape 28" o:spid="_x0000_s1032" type="#_x0000_t34" style="position:absolute;left:1252;top:14978;width:10995;height:230;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" adj="20904" strokecolor="black [3213]" strokeweight="1.25pt"/>
                  </v:group>
                  <w10:wrap anchorx="page"/>
                </v:group>
              </w:pict>
            </mc:Fallback>
          </mc:AlternateContent>
        </w:r>
      </w:p>
    </w:sdtContent>
  </w:sdt>
  <w:p w14:paraId="519AEA12" w14:textId="621E8278" w:rsidR="00816421" w:rsidRDefault="00816421" w:rsidP="00651FD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10A8F" w14:textId="77777777" w:rsidR="008265FE" w:rsidRDefault="008265FE" w:rsidP="00125450">
      <w:pPr>
        <w:spacing w:after="0" w:line="240" w:lineRule="auto"/>
      </w:pPr>
      <w:r>
        <w:separator/>
      </w:r>
    </w:p>
  </w:footnote>
  <w:footnote w:type="continuationSeparator" w:id="0">
    <w:p w14:paraId="031099BF" w14:textId="77777777" w:rsidR="008265FE" w:rsidRDefault="008265FE" w:rsidP="00125450">
      <w:pPr>
        <w:spacing w:after="0" w:line="240" w:lineRule="auto"/>
      </w:pPr>
      <w:r>
        <w:continuationSeparator/>
      </w:r>
    </w:p>
  </w:footnote>
  <w:footnote w:id="1">
    <w:p w14:paraId="7E989E64" w14:textId="26ABAEDB" w:rsidR="00F169AC" w:rsidRPr="00FC3157" w:rsidRDefault="00F169AC" w:rsidP="00F169AC">
      <w:pPr>
        <w:pStyle w:val="FootnoteText"/>
        <w:rPr>
          <w:rFonts w:cs="Arial"/>
          <w:sz w:val="18"/>
          <w:szCs w:val="18"/>
        </w:rPr>
      </w:pPr>
      <w:r w:rsidRPr="00FC3157">
        <w:rPr>
          <w:rStyle w:val="FootnoteReference"/>
          <w:rFonts w:cs="Arial"/>
          <w:sz w:val="18"/>
          <w:szCs w:val="18"/>
        </w:rPr>
        <w:footnoteRef/>
      </w:r>
      <w:r w:rsidRPr="00FC3157">
        <w:rPr>
          <w:rFonts w:cs="Arial"/>
          <w:sz w:val="18"/>
          <w:szCs w:val="18"/>
        </w:rPr>
        <w:t xml:space="preserve"> </w:t>
      </w:r>
      <w:r w:rsidR="002C1D61" w:rsidRPr="002C1D61">
        <w:rPr>
          <w:rFonts w:cs="Arial"/>
          <w:sz w:val="18"/>
          <w:szCs w:val="18"/>
        </w:rPr>
        <w:t>Docente de asignatura del Tecnológico Nacional de México Lázaro Cárdenas. jcesar.cesar@lcardenas.tecnm.mx</w:t>
      </w:r>
    </w:p>
  </w:footnote>
  <w:footnote w:id="2">
    <w:p w14:paraId="02721934" w14:textId="4B668288" w:rsidR="00F169AC" w:rsidRPr="00FC3157" w:rsidRDefault="00F169AC" w:rsidP="00F169AC">
      <w:pPr>
        <w:pStyle w:val="FootnoteText"/>
        <w:rPr>
          <w:rFonts w:cs="Arial"/>
          <w:sz w:val="18"/>
          <w:szCs w:val="18"/>
        </w:rPr>
      </w:pPr>
      <w:r>
        <w:rPr>
          <w:rStyle w:val="FootnoteReference"/>
        </w:rPr>
        <w:footnoteRef/>
      </w:r>
      <w:r w:rsidRPr="00A109CB">
        <w:t xml:space="preserve"> </w:t>
      </w:r>
      <w:r w:rsidR="002C1D61" w:rsidRPr="002C1D61">
        <w:rPr>
          <w:rFonts w:cs="Arial"/>
          <w:sz w:val="18"/>
          <w:szCs w:val="18"/>
        </w:rPr>
        <w:t>Docente de Ingeniería Industrial. Tecnológico Nacional de México Lázaro Cárdenas. ofelia.barrios@lcardenas.tecnm.mx</w:t>
      </w:r>
    </w:p>
  </w:footnote>
  <w:footnote w:id="3">
    <w:p w14:paraId="2E27D054" w14:textId="3BCFB90F" w:rsidR="00F169AC" w:rsidRPr="00FC3157" w:rsidRDefault="00F169AC" w:rsidP="00F169AC">
      <w:pPr>
        <w:pStyle w:val="FootnoteText"/>
        <w:rPr>
          <w:rFonts w:cs="Arial"/>
          <w:sz w:val="18"/>
          <w:szCs w:val="18"/>
        </w:rPr>
      </w:pPr>
      <w:r w:rsidRPr="00FC3157">
        <w:rPr>
          <w:rStyle w:val="FootnoteReference"/>
          <w:rFonts w:cs="Arial"/>
          <w:sz w:val="18"/>
          <w:szCs w:val="18"/>
        </w:rPr>
        <w:footnoteRef/>
      </w:r>
      <w:r w:rsidRPr="00FC3157">
        <w:rPr>
          <w:rFonts w:cs="Arial"/>
          <w:sz w:val="18"/>
          <w:szCs w:val="18"/>
        </w:rPr>
        <w:t xml:space="preserve"> </w:t>
      </w:r>
      <w:r w:rsidR="002C1D61" w:rsidRPr="002C1D61">
        <w:rPr>
          <w:rFonts w:cs="Arial"/>
          <w:sz w:val="18"/>
          <w:szCs w:val="18"/>
        </w:rPr>
        <w:t xml:space="preserve">Docente de asignatura del Tecnológico Nacional de México Lázaro Cárdenas. osvaldo.lira@lcardenas.tecnm.mx </w:t>
      </w:r>
      <w:r w:rsidR="002C1D61" w:rsidRPr="00FC3157">
        <w:rPr>
          <w:rFonts w:cs="Arial"/>
          <w:sz w:val="18"/>
          <w:szCs w:val="18"/>
        </w:rPr>
        <w:t xml:space="preserve"> </w:t>
      </w:r>
    </w:p>
  </w:footnote>
  <w:footnote w:id="4">
    <w:p w14:paraId="6FCAFE49" w14:textId="16E7E9B7" w:rsidR="00F169AC" w:rsidRPr="00FC3157" w:rsidRDefault="00F169AC" w:rsidP="00F169AC">
      <w:pPr>
        <w:pStyle w:val="FootnoteText"/>
        <w:rPr>
          <w:rFonts w:cs="Arial"/>
          <w:sz w:val="18"/>
          <w:szCs w:val="18"/>
        </w:rPr>
      </w:pPr>
      <w:r w:rsidRPr="00FC3157">
        <w:rPr>
          <w:rStyle w:val="FootnoteReference"/>
          <w:rFonts w:cs="Arial"/>
          <w:sz w:val="18"/>
          <w:szCs w:val="18"/>
        </w:rPr>
        <w:footnoteRef/>
      </w:r>
      <w:r w:rsidR="002C1D61" w:rsidRPr="002C1D61">
        <w:rPr>
          <w:rFonts w:cs="Arial"/>
          <w:sz w:val="18"/>
          <w:szCs w:val="18"/>
        </w:rPr>
        <w:t>Docente de honorarios del Tecnológico Nacional de México Lázaro Cárdenas. jf.vbarrios@lcardenas.tecnm.mx</w:t>
      </w:r>
      <w:r w:rsidR="002C1D61" w:rsidRPr="00FC3157">
        <w:rPr>
          <w:rFonts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1DF55" w14:textId="77777777" w:rsidR="000B79FA" w:rsidRDefault="000B79FA" w:rsidP="009037E6">
    <w:pPr>
      <w:pStyle w:val="Header"/>
    </w:pPr>
    <w:r>
      <w:rPr>
        <w:noProof/>
        <w:lang w:eastAsia="es-MX"/>
      </w:rPr>
      <mc:AlternateContent>
        <mc:Choice Requires="wps">
          <w:drawing>
            <wp:anchor distT="0" distB="0" distL="114300" distR="114300" simplePos="0" relativeHeight="251785216" behindDoc="1" locked="0" layoutInCell="1" allowOverlap="1" wp14:anchorId="74E86993" wp14:editId="47DB7A68">
              <wp:simplePos x="0" y="0"/>
              <wp:positionH relativeFrom="page">
                <wp:posOffset>-40327</wp:posOffset>
              </wp:positionH>
              <wp:positionV relativeFrom="page">
                <wp:align>top</wp:align>
              </wp:positionV>
              <wp:extent cx="7834630" cy="738505"/>
              <wp:effectExtent l="19050" t="19050" r="33020" b="61595"/>
              <wp:wrapNone/>
              <wp:docPr id="4108" name="Cuadro de texto 4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4630" cy="738505"/>
                      </a:xfrm>
                      <a:prstGeom prst="rect">
                        <a:avLst/>
                      </a:prstGeom>
                      <a:solidFill>
                        <a:srgbClr val="92D05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4145412F" w14:textId="7A204412" w:rsidR="00651FD6" w:rsidRDefault="00651FD6" w:rsidP="00651FD6">
                          <w:pPr>
                            <w:spacing w:after="0" w:line="232" w:lineRule="exact"/>
                            <w:ind w:left="1701" w:right="1704"/>
                            <w:rPr>
                              <w:rFonts w:ascii="Segoe UI" w:hAnsi="Segoe UI"/>
                              <w:b/>
                            </w:rPr>
                          </w:pPr>
                          <w:r w:rsidRPr="00295A48">
                            <w:rPr>
                              <w:rFonts w:ascii="Segoe UI" w:hAnsi="Segoe UI"/>
                              <w:b/>
                            </w:rPr>
                            <w:t>Multidisciplinas de la Ingeniería</w:t>
                          </w:r>
                          <w:r>
                            <w:rPr>
                              <w:rFonts w:ascii="Segoe UI" w:hAnsi="Segoe UI"/>
                              <w:b/>
                            </w:rPr>
                            <w:tab/>
                            <w:t xml:space="preserve">           </w:t>
                          </w:r>
                          <w:r w:rsidR="0039029A">
                            <w:rPr>
                              <w:rFonts w:ascii="Segoe UI" w:hAnsi="Segoe UI"/>
                              <w:b/>
                            </w:rPr>
                            <w:t xml:space="preserve"> </w:t>
                          </w:r>
                          <w:r w:rsidR="00F169AC">
                            <w:rPr>
                              <w:rFonts w:ascii="Segoe UI" w:hAnsi="Segoe UI"/>
                              <w:b/>
                            </w:rPr>
                            <w:t xml:space="preserve">          </w:t>
                          </w:r>
                          <w:r>
                            <w:rPr>
                              <w:rFonts w:ascii="Segoe UI" w:hAnsi="Segoe UI"/>
                              <w:b/>
                            </w:rPr>
                            <w:t xml:space="preserve">EISSN: 2395-843X. Año </w:t>
                          </w:r>
                          <w:r w:rsidR="0033180C">
                            <w:rPr>
                              <w:rFonts w:ascii="Segoe UI" w:hAnsi="Segoe UI"/>
                              <w:b/>
                            </w:rPr>
                            <w:t>X</w:t>
                          </w:r>
                          <w:r w:rsidR="00B8497C">
                            <w:rPr>
                              <w:rFonts w:ascii="Segoe UI" w:hAnsi="Segoe UI"/>
                              <w:b/>
                            </w:rPr>
                            <w:t>I</w:t>
                          </w:r>
                          <w:r w:rsidRPr="00295A48">
                            <w:rPr>
                              <w:rFonts w:ascii="Segoe UI" w:hAnsi="Segoe UI"/>
                              <w:b/>
                            </w:rPr>
                            <w:t>. No.</w:t>
                          </w:r>
                          <w:r>
                            <w:rPr>
                              <w:rFonts w:ascii="Segoe UI" w:hAnsi="Segoe UI"/>
                              <w:b/>
                            </w:rPr>
                            <w:t xml:space="preserve"> 1</w:t>
                          </w:r>
                          <w:r w:rsidR="00B8497C">
                            <w:rPr>
                              <w:rFonts w:ascii="Segoe UI" w:hAnsi="Segoe UI"/>
                              <w:b/>
                            </w:rPr>
                            <w:t>7</w:t>
                          </w:r>
                          <w:r>
                            <w:rPr>
                              <w:rFonts w:ascii="Segoe UI" w:hAnsi="Segoe UI"/>
                              <w:b/>
                            </w:rPr>
                            <w:t xml:space="preserve">. </w:t>
                          </w:r>
                          <w:r w:rsidR="00F169AC">
                            <w:rPr>
                              <w:rFonts w:ascii="Segoe UI" w:hAnsi="Segoe UI"/>
                              <w:b/>
                            </w:rPr>
                            <w:t>Mayo</w:t>
                          </w:r>
                          <w:r>
                            <w:rPr>
                              <w:rFonts w:ascii="Segoe UI" w:hAnsi="Segoe UI"/>
                              <w:b/>
                            </w:rPr>
                            <w:t>, 20</w:t>
                          </w:r>
                          <w:r w:rsidR="000D1FB5">
                            <w:rPr>
                              <w:rFonts w:ascii="Segoe UI" w:hAnsi="Segoe UI"/>
                              <w:b/>
                            </w:rPr>
                            <w:t>2</w:t>
                          </w:r>
                          <w:r w:rsidR="00B8497C">
                            <w:rPr>
                              <w:rFonts w:ascii="Segoe UI" w:hAnsi="Segoe UI"/>
                              <w:b/>
                            </w:rPr>
                            <w:t>3</w:t>
                          </w:r>
                        </w:p>
                        <w:p w14:paraId="18E28AE8" w14:textId="31942B1A" w:rsidR="00651FD6" w:rsidRDefault="00D80C78" w:rsidP="00651FD6">
                          <w:pPr>
                            <w:spacing w:after="0" w:line="232" w:lineRule="exact"/>
                            <w:ind w:left="1701" w:right="1704"/>
                            <w:rPr>
                              <w:rFonts w:ascii="Segoe UI" w:hAnsi="Segoe UI"/>
                              <w:b/>
                            </w:rPr>
                          </w:pPr>
                          <w:hyperlink r:id="rId1" w:history="1">
                            <w:r w:rsidR="00ED2301" w:rsidRPr="00F37358">
                              <w:rPr>
                                <w:rStyle w:val="Hyperlink"/>
                              </w:rPr>
                              <w:t>http://www.multidisciplinasdelaingenieria.com</w:t>
                            </w:r>
                          </w:hyperlink>
                          <w:r w:rsidR="00ED2301">
                            <w:t xml:space="preserve"> </w:t>
                          </w:r>
                          <w:r w:rsidR="00651FD6">
                            <w:rPr>
                              <w:rFonts w:ascii="Segoe UI" w:hAnsi="Segoe UI"/>
                              <w:b/>
                            </w:rPr>
                            <w:tab/>
                          </w:r>
                          <w:r w:rsidR="00F169AC">
                            <w:rPr>
                              <w:rFonts w:ascii="Segoe UI" w:hAnsi="Segoe UI"/>
                              <w:b/>
                            </w:rPr>
                            <w:t xml:space="preserve">            </w:t>
                          </w:r>
                          <w:r w:rsidR="00651FD6">
                            <w:rPr>
                              <w:rFonts w:ascii="Segoe UI" w:hAnsi="Segoe UI"/>
                              <w:b/>
                            </w:rPr>
                            <w:tab/>
                          </w:r>
                          <w:r w:rsidR="00651FD6">
                            <w:rPr>
                              <w:rFonts w:ascii="Segoe UI" w:hAnsi="Segoe UI"/>
                              <w:b/>
                            </w:rPr>
                            <w:tab/>
                            <w:t xml:space="preserve">    </w:t>
                          </w:r>
                          <w:r w:rsidR="00651FD6">
                            <w:rPr>
                              <w:rFonts w:ascii="Segoe UI" w:hAnsi="Segoe UI"/>
                              <w:b/>
                            </w:rPr>
                            <w:tab/>
                            <w:t xml:space="preserve">               </w:t>
                          </w:r>
                          <w:r w:rsidR="00651FD6" w:rsidRPr="00295A48">
                            <w:rPr>
                              <w:rFonts w:ascii="Segoe UI" w:hAnsi="Segoe UI"/>
                              <w:b/>
                            </w:rPr>
                            <w:t>FIME - UANL</w:t>
                          </w:r>
                        </w:p>
                        <w:p w14:paraId="5AD34019" w14:textId="77777777" w:rsidR="000D1FB5" w:rsidRPr="000D1FB5" w:rsidRDefault="000D1FB5" w:rsidP="000D1FB5">
                          <w:pPr>
                            <w:spacing w:after="0" w:line="240" w:lineRule="auto"/>
                            <w:jc w:val="center"/>
                            <w:rPr>
                              <w:b/>
                              <w:sz w:val="8"/>
                              <w:szCs w:val="10"/>
                            </w:rPr>
                          </w:pPr>
                        </w:p>
                        <w:p w14:paraId="646453AE" w14:textId="77777777" w:rsidR="00B8497C" w:rsidRDefault="00B8497C" w:rsidP="00F169AC">
                          <w:pPr>
                            <w:spacing w:after="0" w:line="240" w:lineRule="auto"/>
                            <w:jc w:val="center"/>
                            <w:rPr>
                              <w:b/>
                            </w:rPr>
                          </w:pPr>
                          <w:r w:rsidRPr="00B8497C">
                            <w:rPr>
                              <w:b/>
                            </w:rPr>
                            <w:t xml:space="preserve">ACONDICIONAMIENTO DE SEÑAL PARA BIOPOTENCIALES SUPERFICIALES </w:t>
                          </w:r>
                        </w:p>
                        <w:p w14:paraId="5AF76C1C" w14:textId="05493434" w:rsidR="000B79FA" w:rsidRPr="00682B34" w:rsidRDefault="00B8497C" w:rsidP="00F169AC">
                          <w:pPr>
                            <w:spacing w:after="0" w:line="240" w:lineRule="auto"/>
                            <w:jc w:val="center"/>
                            <w:rPr>
                              <w:b/>
                            </w:rPr>
                          </w:pPr>
                          <w:r w:rsidRPr="00B8497C">
                            <w:rPr>
                              <w:b/>
                            </w:rPr>
                            <w:t>MIOGRÁFICOS LARGOS CON ELECTRODOS SUPERFICIALES SECOS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86993" id="_x0000_t202" coordsize="21600,21600" o:spt="202" path="m,l,21600r21600,l21600,xe">
              <v:stroke joinstyle="miter"/>
              <v:path gradientshapeok="t" o:connecttype="rect"/>
            </v:shapetype>
            <v:shape id="Cuadro de texto 4108" o:spid="_x0000_s1026" type="#_x0000_t202" style="position:absolute;margin-left:-3.2pt;margin-top:0;width:616.9pt;height:58.15pt;z-index:-25153126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" fillcolor="#92d050" strokecolor="#f2f2f2 [3041]" strokeweight="3pt">
              <v:shadow on="t" color="#525252 [1606]" opacity=".5" offset="1pt"/>
              <v:textbox inset="0,0,0,0">
                <w:txbxContent>
                  <w:p w14:paraId="4145412F" w14:textId="7A204412" w:rsidR="00651FD6" w:rsidRDefault="00651FD6" w:rsidP="00651FD6">
                    <w:pPr>
                      <w:spacing w:after="0" w:line="232" w:lineRule="exact"/>
                      <w:ind w:left="1701" w:right="1704"/>
                      <w:rPr>
                        <w:rFonts w:ascii="Segoe UI" w:hAnsi="Segoe UI"/>
                        <w:b/>
                      </w:rPr>
                    </w:pPr>
                    <w:r w:rsidRPr="00295A48">
                      <w:rPr>
                        <w:rFonts w:ascii="Segoe UI" w:hAnsi="Segoe UI"/>
                        <w:b/>
                      </w:rPr>
                      <w:t>Multidisciplinas de la Ingeniería</w:t>
                    </w:r>
                    <w:r>
                      <w:rPr>
                        <w:rFonts w:ascii="Segoe UI" w:hAnsi="Segoe UI"/>
                        <w:b/>
                      </w:rPr>
                      <w:tab/>
                      <w:t xml:space="preserve">           </w:t>
                    </w:r>
                    <w:r w:rsidR="0039029A">
                      <w:rPr>
                        <w:rFonts w:ascii="Segoe UI" w:hAnsi="Segoe UI"/>
                        <w:b/>
                      </w:rPr>
                      <w:t xml:space="preserve"> </w:t>
                    </w:r>
                    <w:r w:rsidR="00F169AC">
                      <w:rPr>
                        <w:rFonts w:ascii="Segoe UI" w:hAnsi="Segoe UI"/>
                        <w:b/>
                      </w:rPr>
                      <w:t xml:space="preserve">          </w:t>
                    </w:r>
                    <w:r>
                      <w:rPr>
                        <w:rFonts w:ascii="Segoe UI" w:hAnsi="Segoe UI"/>
                        <w:b/>
                      </w:rPr>
                      <w:t xml:space="preserve">EISSN: 2395-843X. Año </w:t>
                    </w:r>
                    <w:r w:rsidR="0033180C">
                      <w:rPr>
                        <w:rFonts w:ascii="Segoe UI" w:hAnsi="Segoe UI"/>
                        <w:b/>
                      </w:rPr>
                      <w:t>X</w:t>
                    </w:r>
                    <w:r w:rsidR="00B8497C">
                      <w:rPr>
                        <w:rFonts w:ascii="Segoe UI" w:hAnsi="Segoe UI"/>
                        <w:b/>
                      </w:rPr>
                      <w:t>I</w:t>
                    </w:r>
                    <w:r w:rsidRPr="00295A48">
                      <w:rPr>
                        <w:rFonts w:ascii="Segoe UI" w:hAnsi="Segoe UI"/>
                        <w:b/>
                      </w:rPr>
                      <w:t>. No.</w:t>
                    </w:r>
                    <w:r>
                      <w:rPr>
                        <w:rFonts w:ascii="Segoe UI" w:hAnsi="Segoe UI"/>
                        <w:b/>
                      </w:rPr>
                      <w:t xml:space="preserve"> 1</w:t>
                    </w:r>
                    <w:r w:rsidR="00B8497C">
                      <w:rPr>
                        <w:rFonts w:ascii="Segoe UI" w:hAnsi="Segoe UI"/>
                        <w:b/>
                      </w:rPr>
                      <w:t>7</w:t>
                    </w:r>
                    <w:r>
                      <w:rPr>
                        <w:rFonts w:ascii="Segoe UI" w:hAnsi="Segoe UI"/>
                        <w:b/>
                      </w:rPr>
                      <w:t xml:space="preserve">. </w:t>
                    </w:r>
                    <w:r w:rsidR="00F169AC">
                      <w:rPr>
                        <w:rFonts w:ascii="Segoe UI" w:hAnsi="Segoe UI"/>
                        <w:b/>
                      </w:rPr>
                      <w:t>Mayo</w:t>
                    </w:r>
                    <w:r>
                      <w:rPr>
                        <w:rFonts w:ascii="Segoe UI" w:hAnsi="Segoe UI"/>
                        <w:b/>
                      </w:rPr>
                      <w:t>, 20</w:t>
                    </w:r>
                    <w:r w:rsidR="000D1FB5">
                      <w:rPr>
                        <w:rFonts w:ascii="Segoe UI" w:hAnsi="Segoe UI"/>
                        <w:b/>
                      </w:rPr>
                      <w:t>2</w:t>
                    </w:r>
                    <w:r w:rsidR="00B8497C">
                      <w:rPr>
                        <w:rFonts w:ascii="Segoe UI" w:hAnsi="Segoe UI"/>
                        <w:b/>
                      </w:rPr>
                      <w:t>3</w:t>
                    </w:r>
                  </w:p>
                  <w:p w14:paraId="18E28AE8" w14:textId="31942B1A" w:rsidR="00651FD6" w:rsidRDefault="00D80C78" w:rsidP="00651FD6">
                    <w:pPr>
                      <w:spacing w:after="0" w:line="232" w:lineRule="exact"/>
                      <w:ind w:left="1701" w:right="1704"/>
                      <w:rPr>
                        <w:rFonts w:ascii="Segoe UI" w:hAnsi="Segoe UI"/>
                        <w:b/>
                      </w:rPr>
                    </w:pPr>
                    <w:hyperlink r:id="rId2" w:history="1">
                      <w:r w:rsidR="00ED2301" w:rsidRPr="00F37358">
                        <w:rPr>
                          <w:rStyle w:val="Hyperlink"/>
                        </w:rPr>
                        <w:t>http://www.multidisciplinasdelaingenieria.com</w:t>
                      </w:r>
                    </w:hyperlink>
                    <w:r w:rsidR="00ED2301">
                      <w:t xml:space="preserve"> </w:t>
                    </w:r>
                    <w:r w:rsidR="00651FD6">
                      <w:rPr>
                        <w:rFonts w:ascii="Segoe UI" w:hAnsi="Segoe UI"/>
                        <w:b/>
                      </w:rPr>
                      <w:tab/>
                    </w:r>
                    <w:r w:rsidR="00F169AC">
                      <w:rPr>
                        <w:rFonts w:ascii="Segoe UI" w:hAnsi="Segoe UI"/>
                        <w:b/>
                      </w:rPr>
                      <w:t xml:space="preserve">            </w:t>
                    </w:r>
                    <w:r w:rsidR="00651FD6">
                      <w:rPr>
                        <w:rFonts w:ascii="Segoe UI" w:hAnsi="Segoe UI"/>
                        <w:b/>
                      </w:rPr>
                      <w:tab/>
                    </w:r>
                    <w:r w:rsidR="00651FD6">
                      <w:rPr>
                        <w:rFonts w:ascii="Segoe UI" w:hAnsi="Segoe UI"/>
                        <w:b/>
                      </w:rPr>
                      <w:tab/>
                      <w:t xml:space="preserve">    </w:t>
                    </w:r>
                    <w:r w:rsidR="00651FD6">
                      <w:rPr>
                        <w:rFonts w:ascii="Segoe UI" w:hAnsi="Segoe UI"/>
                        <w:b/>
                      </w:rPr>
                      <w:tab/>
                      <w:t xml:space="preserve">               </w:t>
                    </w:r>
                    <w:r w:rsidR="00651FD6" w:rsidRPr="00295A48">
                      <w:rPr>
                        <w:rFonts w:ascii="Segoe UI" w:hAnsi="Segoe UI"/>
                        <w:b/>
                      </w:rPr>
                      <w:t>FIME - UANL</w:t>
                    </w:r>
                  </w:p>
                  <w:p w14:paraId="5AD34019" w14:textId="77777777" w:rsidR="000D1FB5" w:rsidRPr="000D1FB5" w:rsidRDefault="000D1FB5" w:rsidP="000D1FB5">
                    <w:pPr>
                      <w:spacing w:after="0" w:line="240" w:lineRule="auto"/>
                      <w:jc w:val="center"/>
                      <w:rPr>
                        <w:b/>
                        <w:sz w:val="8"/>
                        <w:szCs w:val="10"/>
                      </w:rPr>
                    </w:pPr>
                  </w:p>
                  <w:p w14:paraId="646453AE" w14:textId="77777777" w:rsidR="00B8497C" w:rsidRDefault="00B8497C" w:rsidP="00F169AC">
                    <w:pPr>
                      <w:spacing w:after="0" w:line="240" w:lineRule="auto"/>
                      <w:jc w:val="center"/>
                      <w:rPr>
                        <w:b/>
                      </w:rPr>
                    </w:pPr>
                    <w:r w:rsidRPr="00B8497C">
                      <w:rPr>
                        <w:b/>
                      </w:rPr>
                      <w:t xml:space="preserve">ACONDICIONAMIENTO DE SEÑAL PARA BIOPOTENCIALES SUPERFICIALES </w:t>
                    </w:r>
                  </w:p>
                  <w:p w14:paraId="5AF76C1C" w14:textId="05493434" w:rsidR="000B79FA" w:rsidRPr="00682B34" w:rsidRDefault="00B8497C" w:rsidP="00F169AC">
                    <w:pPr>
                      <w:spacing w:after="0" w:line="240" w:lineRule="auto"/>
                      <w:jc w:val="center"/>
                      <w:rPr>
                        <w:b/>
                      </w:rPr>
                    </w:pPr>
                    <w:r w:rsidRPr="00B8497C">
                      <w:rPr>
                        <w:b/>
                      </w:rPr>
                      <w:t>MIOGRÁFICOS LARGOS CON ELECTRODOS SUPERFICIALES SECOS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66B6"/>
    <w:multiLevelType w:val="hybridMultilevel"/>
    <w:tmpl w:val="76D2F4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CA201B"/>
    <w:multiLevelType w:val="hybridMultilevel"/>
    <w:tmpl w:val="AA7E45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8A539D"/>
    <w:multiLevelType w:val="hybridMultilevel"/>
    <w:tmpl w:val="3A0AE30A"/>
    <w:lvl w:ilvl="0" w:tplc="A56C9344">
      <w:start w:val="1"/>
      <w:numFmt w:val="decimal"/>
      <w:pStyle w:val="Estilo2bis"/>
      <w:lvlText w:val="%1."/>
      <w:lvlJc w:val="left"/>
      <w:pPr>
        <w:ind w:left="360" w:hanging="360"/>
      </w:pPr>
      <w:rPr>
        <w:rFonts w:ascii="Arial" w:hAnsi="Arial" w:hint="default"/>
        <w:sz w:val="16"/>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31DF78D3"/>
    <w:multiLevelType w:val="hybridMultilevel"/>
    <w:tmpl w:val="D3D079F2"/>
    <w:lvl w:ilvl="0" w:tplc="B87E3126">
      <w:numFmt w:val="bullet"/>
      <w:lvlText w:val="•"/>
      <w:lvlJc w:val="left"/>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D04968"/>
    <w:multiLevelType w:val="hybridMultilevel"/>
    <w:tmpl w:val="C296A916"/>
    <w:lvl w:ilvl="0" w:tplc="615461AE">
      <w:start w:val="1"/>
      <w:numFmt w:val="bullet"/>
      <w:lvlText w:val=""/>
      <w:lvlJc w:val="left"/>
      <w:pPr>
        <w:tabs>
          <w:tab w:val="num" w:pos="720"/>
        </w:tabs>
        <w:ind w:left="720" w:hanging="360"/>
      </w:pPr>
      <w:rPr>
        <w:rFonts w:ascii="Symbol" w:hAnsi="Symbol" w:hint="default"/>
      </w:rPr>
    </w:lvl>
    <w:lvl w:ilvl="1" w:tplc="BCB4F5DA" w:tentative="1">
      <w:start w:val="1"/>
      <w:numFmt w:val="bullet"/>
      <w:lvlText w:val=""/>
      <w:lvlJc w:val="left"/>
      <w:pPr>
        <w:tabs>
          <w:tab w:val="num" w:pos="1440"/>
        </w:tabs>
        <w:ind w:left="1440" w:hanging="360"/>
      </w:pPr>
      <w:rPr>
        <w:rFonts w:ascii="Symbol" w:hAnsi="Symbol" w:hint="default"/>
      </w:rPr>
    </w:lvl>
    <w:lvl w:ilvl="2" w:tplc="40BA6E9A" w:tentative="1">
      <w:start w:val="1"/>
      <w:numFmt w:val="bullet"/>
      <w:lvlText w:val=""/>
      <w:lvlJc w:val="left"/>
      <w:pPr>
        <w:tabs>
          <w:tab w:val="num" w:pos="2160"/>
        </w:tabs>
        <w:ind w:left="2160" w:hanging="360"/>
      </w:pPr>
      <w:rPr>
        <w:rFonts w:ascii="Symbol" w:hAnsi="Symbol" w:hint="default"/>
      </w:rPr>
    </w:lvl>
    <w:lvl w:ilvl="3" w:tplc="6254C1F2" w:tentative="1">
      <w:start w:val="1"/>
      <w:numFmt w:val="bullet"/>
      <w:lvlText w:val=""/>
      <w:lvlJc w:val="left"/>
      <w:pPr>
        <w:tabs>
          <w:tab w:val="num" w:pos="2880"/>
        </w:tabs>
        <w:ind w:left="2880" w:hanging="360"/>
      </w:pPr>
      <w:rPr>
        <w:rFonts w:ascii="Symbol" w:hAnsi="Symbol" w:hint="default"/>
      </w:rPr>
    </w:lvl>
    <w:lvl w:ilvl="4" w:tplc="0B4E2788" w:tentative="1">
      <w:start w:val="1"/>
      <w:numFmt w:val="bullet"/>
      <w:lvlText w:val=""/>
      <w:lvlJc w:val="left"/>
      <w:pPr>
        <w:tabs>
          <w:tab w:val="num" w:pos="3600"/>
        </w:tabs>
        <w:ind w:left="3600" w:hanging="360"/>
      </w:pPr>
      <w:rPr>
        <w:rFonts w:ascii="Symbol" w:hAnsi="Symbol" w:hint="default"/>
      </w:rPr>
    </w:lvl>
    <w:lvl w:ilvl="5" w:tplc="13E216F8" w:tentative="1">
      <w:start w:val="1"/>
      <w:numFmt w:val="bullet"/>
      <w:lvlText w:val=""/>
      <w:lvlJc w:val="left"/>
      <w:pPr>
        <w:tabs>
          <w:tab w:val="num" w:pos="4320"/>
        </w:tabs>
        <w:ind w:left="4320" w:hanging="360"/>
      </w:pPr>
      <w:rPr>
        <w:rFonts w:ascii="Symbol" w:hAnsi="Symbol" w:hint="default"/>
      </w:rPr>
    </w:lvl>
    <w:lvl w:ilvl="6" w:tplc="6966C4A2" w:tentative="1">
      <w:start w:val="1"/>
      <w:numFmt w:val="bullet"/>
      <w:lvlText w:val=""/>
      <w:lvlJc w:val="left"/>
      <w:pPr>
        <w:tabs>
          <w:tab w:val="num" w:pos="5040"/>
        </w:tabs>
        <w:ind w:left="5040" w:hanging="360"/>
      </w:pPr>
      <w:rPr>
        <w:rFonts w:ascii="Symbol" w:hAnsi="Symbol" w:hint="default"/>
      </w:rPr>
    </w:lvl>
    <w:lvl w:ilvl="7" w:tplc="31D401BE" w:tentative="1">
      <w:start w:val="1"/>
      <w:numFmt w:val="bullet"/>
      <w:lvlText w:val=""/>
      <w:lvlJc w:val="left"/>
      <w:pPr>
        <w:tabs>
          <w:tab w:val="num" w:pos="5760"/>
        </w:tabs>
        <w:ind w:left="5760" w:hanging="360"/>
      </w:pPr>
      <w:rPr>
        <w:rFonts w:ascii="Symbol" w:hAnsi="Symbol" w:hint="default"/>
      </w:rPr>
    </w:lvl>
    <w:lvl w:ilvl="8" w:tplc="52EA50B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7392930"/>
    <w:multiLevelType w:val="hybridMultilevel"/>
    <w:tmpl w:val="B5147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51B3D2D"/>
    <w:multiLevelType w:val="hybridMultilevel"/>
    <w:tmpl w:val="9634CC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B2A28DF"/>
    <w:multiLevelType w:val="hybridMultilevel"/>
    <w:tmpl w:val="EB6886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5A0686"/>
    <w:multiLevelType w:val="hybridMultilevel"/>
    <w:tmpl w:val="0BDC3B7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6B866F0"/>
    <w:multiLevelType w:val="hybridMultilevel"/>
    <w:tmpl w:val="A6E88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AE08BB"/>
    <w:multiLevelType w:val="hybridMultilevel"/>
    <w:tmpl w:val="51F0C2C4"/>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32342559">
    <w:abstractNumId w:val="2"/>
  </w:num>
  <w:num w:numId="2" w16cid:durableId="1068528436">
    <w:abstractNumId w:val="10"/>
  </w:num>
  <w:num w:numId="3" w16cid:durableId="1776514346">
    <w:abstractNumId w:val="0"/>
  </w:num>
  <w:num w:numId="4" w16cid:durableId="1238901577">
    <w:abstractNumId w:val="8"/>
  </w:num>
  <w:num w:numId="5" w16cid:durableId="254366390">
    <w:abstractNumId w:val="6"/>
  </w:num>
  <w:num w:numId="6" w16cid:durableId="2104957561">
    <w:abstractNumId w:val="7"/>
  </w:num>
  <w:num w:numId="7" w16cid:durableId="2118207594">
    <w:abstractNumId w:val="1"/>
  </w:num>
  <w:num w:numId="8" w16cid:durableId="203056681">
    <w:abstractNumId w:val="4"/>
  </w:num>
  <w:num w:numId="9" w16cid:durableId="63378877">
    <w:abstractNumId w:val="5"/>
  </w:num>
  <w:num w:numId="10" w16cid:durableId="496969272">
    <w:abstractNumId w:val="3"/>
  </w:num>
  <w:num w:numId="11" w16cid:durableId="1859196610">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hdrShapeDefaults>
    <o:shapedefaults v:ext="edit" spidmax="2050"/>
  </w:hdrShapeDefaults>
  <w:footnotePr>
    <w:numRestart w:val="eachSec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450"/>
    <w:rsid w:val="00002241"/>
    <w:rsid w:val="000042AA"/>
    <w:rsid w:val="000151D8"/>
    <w:rsid w:val="000177BD"/>
    <w:rsid w:val="00026784"/>
    <w:rsid w:val="00032DA1"/>
    <w:rsid w:val="000420BB"/>
    <w:rsid w:val="00043A50"/>
    <w:rsid w:val="00046D59"/>
    <w:rsid w:val="00046EDE"/>
    <w:rsid w:val="00054B9A"/>
    <w:rsid w:val="00055464"/>
    <w:rsid w:val="000637C8"/>
    <w:rsid w:val="00065FF4"/>
    <w:rsid w:val="00075801"/>
    <w:rsid w:val="00077B34"/>
    <w:rsid w:val="000806AF"/>
    <w:rsid w:val="00097D17"/>
    <w:rsid w:val="000A1CC6"/>
    <w:rsid w:val="000A2903"/>
    <w:rsid w:val="000A54D9"/>
    <w:rsid w:val="000A71E4"/>
    <w:rsid w:val="000B5D56"/>
    <w:rsid w:val="000B7590"/>
    <w:rsid w:val="000B79FA"/>
    <w:rsid w:val="000C4C7A"/>
    <w:rsid w:val="000D1FB5"/>
    <w:rsid w:val="000E5D9A"/>
    <w:rsid w:val="000F0805"/>
    <w:rsid w:val="000F0FCF"/>
    <w:rsid w:val="000F323D"/>
    <w:rsid w:val="00125450"/>
    <w:rsid w:val="00132F33"/>
    <w:rsid w:val="0013558D"/>
    <w:rsid w:val="001435F6"/>
    <w:rsid w:val="00143DE0"/>
    <w:rsid w:val="001539BC"/>
    <w:rsid w:val="0016285E"/>
    <w:rsid w:val="001717F2"/>
    <w:rsid w:val="00175AF6"/>
    <w:rsid w:val="00180FD4"/>
    <w:rsid w:val="001B4CCB"/>
    <w:rsid w:val="001B7139"/>
    <w:rsid w:val="001C20F3"/>
    <w:rsid w:val="001C65E2"/>
    <w:rsid w:val="001E1FCB"/>
    <w:rsid w:val="001E3866"/>
    <w:rsid w:val="001E3E89"/>
    <w:rsid w:val="001E47B3"/>
    <w:rsid w:val="001E7E83"/>
    <w:rsid w:val="001F7BAA"/>
    <w:rsid w:val="00205EAE"/>
    <w:rsid w:val="00215205"/>
    <w:rsid w:val="0022762A"/>
    <w:rsid w:val="00233265"/>
    <w:rsid w:val="002555BE"/>
    <w:rsid w:val="00256B85"/>
    <w:rsid w:val="00271C29"/>
    <w:rsid w:val="00282332"/>
    <w:rsid w:val="00290E5B"/>
    <w:rsid w:val="002962D4"/>
    <w:rsid w:val="002A43F9"/>
    <w:rsid w:val="002B1336"/>
    <w:rsid w:val="002B3568"/>
    <w:rsid w:val="002C1D61"/>
    <w:rsid w:val="002E3860"/>
    <w:rsid w:val="002F3524"/>
    <w:rsid w:val="003006E4"/>
    <w:rsid w:val="00305C6A"/>
    <w:rsid w:val="00320056"/>
    <w:rsid w:val="0033180C"/>
    <w:rsid w:val="00334F7B"/>
    <w:rsid w:val="00340046"/>
    <w:rsid w:val="0034092F"/>
    <w:rsid w:val="00341FBF"/>
    <w:rsid w:val="0034374D"/>
    <w:rsid w:val="003455F6"/>
    <w:rsid w:val="00360A64"/>
    <w:rsid w:val="00363711"/>
    <w:rsid w:val="00370CEF"/>
    <w:rsid w:val="00380078"/>
    <w:rsid w:val="0039029A"/>
    <w:rsid w:val="00390C33"/>
    <w:rsid w:val="003B6D69"/>
    <w:rsid w:val="003C35FC"/>
    <w:rsid w:val="003C388C"/>
    <w:rsid w:val="003C487A"/>
    <w:rsid w:val="003D0BC5"/>
    <w:rsid w:val="003D2D5B"/>
    <w:rsid w:val="003D568A"/>
    <w:rsid w:val="003D72FC"/>
    <w:rsid w:val="003E790B"/>
    <w:rsid w:val="003F1173"/>
    <w:rsid w:val="003F32D5"/>
    <w:rsid w:val="00400B55"/>
    <w:rsid w:val="00402A43"/>
    <w:rsid w:val="00405726"/>
    <w:rsid w:val="0041388C"/>
    <w:rsid w:val="00413DC5"/>
    <w:rsid w:val="00432859"/>
    <w:rsid w:val="004343B2"/>
    <w:rsid w:val="00434B84"/>
    <w:rsid w:val="00437613"/>
    <w:rsid w:val="00437639"/>
    <w:rsid w:val="00444A7B"/>
    <w:rsid w:val="0044743E"/>
    <w:rsid w:val="00464BE1"/>
    <w:rsid w:val="0046661E"/>
    <w:rsid w:val="00467F58"/>
    <w:rsid w:val="00470137"/>
    <w:rsid w:val="0047144C"/>
    <w:rsid w:val="00471C5A"/>
    <w:rsid w:val="00491C7B"/>
    <w:rsid w:val="00496CFC"/>
    <w:rsid w:val="004A5407"/>
    <w:rsid w:val="004B0261"/>
    <w:rsid w:val="004B5FC7"/>
    <w:rsid w:val="004C3DBD"/>
    <w:rsid w:val="004D7F2A"/>
    <w:rsid w:val="004E3079"/>
    <w:rsid w:val="00500FC2"/>
    <w:rsid w:val="00505EF5"/>
    <w:rsid w:val="005079A7"/>
    <w:rsid w:val="00511B57"/>
    <w:rsid w:val="00511CA4"/>
    <w:rsid w:val="00513103"/>
    <w:rsid w:val="005170C7"/>
    <w:rsid w:val="00517163"/>
    <w:rsid w:val="00522880"/>
    <w:rsid w:val="00524E2B"/>
    <w:rsid w:val="00526060"/>
    <w:rsid w:val="005619DE"/>
    <w:rsid w:val="005722F0"/>
    <w:rsid w:val="00581B24"/>
    <w:rsid w:val="00593552"/>
    <w:rsid w:val="005B6712"/>
    <w:rsid w:val="005D68FF"/>
    <w:rsid w:val="005D7C6B"/>
    <w:rsid w:val="005E12EB"/>
    <w:rsid w:val="005E3012"/>
    <w:rsid w:val="005E3DB6"/>
    <w:rsid w:val="005F3C4F"/>
    <w:rsid w:val="00600465"/>
    <w:rsid w:val="00601620"/>
    <w:rsid w:val="00611475"/>
    <w:rsid w:val="0063292B"/>
    <w:rsid w:val="00642FA4"/>
    <w:rsid w:val="00646747"/>
    <w:rsid w:val="00651FD6"/>
    <w:rsid w:val="00664A99"/>
    <w:rsid w:val="0067086C"/>
    <w:rsid w:val="00673414"/>
    <w:rsid w:val="00676800"/>
    <w:rsid w:val="00682B34"/>
    <w:rsid w:val="00686072"/>
    <w:rsid w:val="0068678F"/>
    <w:rsid w:val="006A1724"/>
    <w:rsid w:val="006A2B34"/>
    <w:rsid w:val="006B1C5D"/>
    <w:rsid w:val="006D092E"/>
    <w:rsid w:val="006E355B"/>
    <w:rsid w:val="006F63DF"/>
    <w:rsid w:val="006F65B8"/>
    <w:rsid w:val="00713FE3"/>
    <w:rsid w:val="007159E1"/>
    <w:rsid w:val="00730AB0"/>
    <w:rsid w:val="00732339"/>
    <w:rsid w:val="00737D6B"/>
    <w:rsid w:val="00740E98"/>
    <w:rsid w:val="00743151"/>
    <w:rsid w:val="00796976"/>
    <w:rsid w:val="0079760F"/>
    <w:rsid w:val="007A2B34"/>
    <w:rsid w:val="007A3D08"/>
    <w:rsid w:val="007A428F"/>
    <w:rsid w:val="007A5696"/>
    <w:rsid w:val="007F6A76"/>
    <w:rsid w:val="0081080E"/>
    <w:rsid w:val="00813298"/>
    <w:rsid w:val="00816421"/>
    <w:rsid w:val="008265FE"/>
    <w:rsid w:val="00832D0B"/>
    <w:rsid w:val="008360BD"/>
    <w:rsid w:val="00841E17"/>
    <w:rsid w:val="00842DC6"/>
    <w:rsid w:val="00851F28"/>
    <w:rsid w:val="00853F60"/>
    <w:rsid w:val="00870377"/>
    <w:rsid w:val="00871134"/>
    <w:rsid w:val="008758F6"/>
    <w:rsid w:val="00896A20"/>
    <w:rsid w:val="008971A1"/>
    <w:rsid w:val="008979A9"/>
    <w:rsid w:val="008A13B9"/>
    <w:rsid w:val="008A381F"/>
    <w:rsid w:val="008A7F02"/>
    <w:rsid w:val="008B0F23"/>
    <w:rsid w:val="008D05F1"/>
    <w:rsid w:val="008D2DA4"/>
    <w:rsid w:val="008E76F8"/>
    <w:rsid w:val="008F1DC6"/>
    <w:rsid w:val="008F560E"/>
    <w:rsid w:val="008F787B"/>
    <w:rsid w:val="00903025"/>
    <w:rsid w:val="009037E6"/>
    <w:rsid w:val="00904A8D"/>
    <w:rsid w:val="0091795D"/>
    <w:rsid w:val="00922A8D"/>
    <w:rsid w:val="0092558E"/>
    <w:rsid w:val="0093044B"/>
    <w:rsid w:val="009340FD"/>
    <w:rsid w:val="009402D0"/>
    <w:rsid w:val="00943290"/>
    <w:rsid w:val="00955FB6"/>
    <w:rsid w:val="00973DB3"/>
    <w:rsid w:val="00975077"/>
    <w:rsid w:val="00993812"/>
    <w:rsid w:val="00997E8E"/>
    <w:rsid w:val="009A5DA9"/>
    <w:rsid w:val="009B5236"/>
    <w:rsid w:val="009D408F"/>
    <w:rsid w:val="009D4CE8"/>
    <w:rsid w:val="009D7456"/>
    <w:rsid w:val="009E0AF9"/>
    <w:rsid w:val="009F0177"/>
    <w:rsid w:val="009F16BA"/>
    <w:rsid w:val="00A02286"/>
    <w:rsid w:val="00A0526F"/>
    <w:rsid w:val="00A14610"/>
    <w:rsid w:val="00A1507D"/>
    <w:rsid w:val="00A25240"/>
    <w:rsid w:val="00A30D09"/>
    <w:rsid w:val="00A362B8"/>
    <w:rsid w:val="00A43AA3"/>
    <w:rsid w:val="00A448BE"/>
    <w:rsid w:val="00A46DCF"/>
    <w:rsid w:val="00A57301"/>
    <w:rsid w:val="00A60D8B"/>
    <w:rsid w:val="00A81683"/>
    <w:rsid w:val="00A96756"/>
    <w:rsid w:val="00AA62D5"/>
    <w:rsid w:val="00AB12FA"/>
    <w:rsid w:val="00AB3364"/>
    <w:rsid w:val="00AB6723"/>
    <w:rsid w:val="00AB76B8"/>
    <w:rsid w:val="00AC55D2"/>
    <w:rsid w:val="00AD06E6"/>
    <w:rsid w:val="00AD1FBC"/>
    <w:rsid w:val="00AD2BAB"/>
    <w:rsid w:val="00B028DC"/>
    <w:rsid w:val="00B07A25"/>
    <w:rsid w:val="00B21571"/>
    <w:rsid w:val="00B26235"/>
    <w:rsid w:val="00B26FE0"/>
    <w:rsid w:val="00B43E84"/>
    <w:rsid w:val="00B43F91"/>
    <w:rsid w:val="00B445B9"/>
    <w:rsid w:val="00B56081"/>
    <w:rsid w:val="00B61702"/>
    <w:rsid w:val="00B80C0B"/>
    <w:rsid w:val="00B8497C"/>
    <w:rsid w:val="00B8695B"/>
    <w:rsid w:val="00B87106"/>
    <w:rsid w:val="00B92238"/>
    <w:rsid w:val="00BC6D75"/>
    <w:rsid w:val="00BC75A6"/>
    <w:rsid w:val="00BD559B"/>
    <w:rsid w:val="00BE55FF"/>
    <w:rsid w:val="00BF3F42"/>
    <w:rsid w:val="00BF42E6"/>
    <w:rsid w:val="00C01CF8"/>
    <w:rsid w:val="00C0217A"/>
    <w:rsid w:val="00C02BD5"/>
    <w:rsid w:val="00C143F0"/>
    <w:rsid w:val="00C26C5A"/>
    <w:rsid w:val="00C5009C"/>
    <w:rsid w:val="00C5011B"/>
    <w:rsid w:val="00C5205F"/>
    <w:rsid w:val="00C52181"/>
    <w:rsid w:val="00C60329"/>
    <w:rsid w:val="00C66FEC"/>
    <w:rsid w:val="00C765A5"/>
    <w:rsid w:val="00C8673F"/>
    <w:rsid w:val="00C9431F"/>
    <w:rsid w:val="00CA6CAA"/>
    <w:rsid w:val="00CA6D34"/>
    <w:rsid w:val="00CB1457"/>
    <w:rsid w:val="00CB3C06"/>
    <w:rsid w:val="00CB5268"/>
    <w:rsid w:val="00CE11BB"/>
    <w:rsid w:val="00CF2383"/>
    <w:rsid w:val="00D048FE"/>
    <w:rsid w:val="00D15996"/>
    <w:rsid w:val="00D16460"/>
    <w:rsid w:val="00D247B7"/>
    <w:rsid w:val="00D26316"/>
    <w:rsid w:val="00D34A84"/>
    <w:rsid w:val="00D52A2C"/>
    <w:rsid w:val="00D52F98"/>
    <w:rsid w:val="00D54C90"/>
    <w:rsid w:val="00D56C38"/>
    <w:rsid w:val="00D715B2"/>
    <w:rsid w:val="00D73AE3"/>
    <w:rsid w:val="00D75F47"/>
    <w:rsid w:val="00D80C78"/>
    <w:rsid w:val="00D86AFB"/>
    <w:rsid w:val="00D8722A"/>
    <w:rsid w:val="00D907BD"/>
    <w:rsid w:val="00D93361"/>
    <w:rsid w:val="00DA14EB"/>
    <w:rsid w:val="00DB772B"/>
    <w:rsid w:val="00DC225A"/>
    <w:rsid w:val="00DC4842"/>
    <w:rsid w:val="00DC768A"/>
    <w:rsid w:val="00DD6257"/>
    <w:rsid w:val="00DE2D75"/>
    <w:rsid w:val="00DE42A6"/>
    <w:rsid w:val="00DE6923"/>
    <w:rsid w:val="00DF763D"/>
    <w:rsid w:val="00DF7D24"/>
    <w:rsid w:val="00E02A92"/>
    <w:rsid w:val="00E07AC1"/>
    <w:rsid w:val="00E1146F"/>
    <w:rsid w:val="00E1154F"/>
    <w:rsid w:val="00E20C87"/>
    <w:rsid w:val="00E307AD"/>
    <w:rsid w:val="00E32B34"/>
    <w:rsid w:val="00E352D2"/>
    <w:rsid w:val="00E420EC"/>
    <w:rsid w:val="00E506E7"/>
    <w:rsid w:val="00E52A58"/>
    <w:rsid w:val="00E544F9"/>
    <w:rsid w:val="00E630D8"/>
    <w:rsid w:val="00E63F44"/>
    <w:rsid w:val="00E674D0"/>
    <w:rsid w:val="00E7070B"/>
    <w:rsid w:val="00E75351"/>
    <w:rsid w:val="00E8345A"/>
    <w:rsid w:val="00E92FCA"/>
    <w:rsid w:val="00EB4AD1"/>
    <w:rsid w:val="00EC6026"/>
    <w:rsid w:val="00EC6937"/>
    <w:rsid w:val="00ED2301"/>
    <w:rsid w:val="00ED6399"/>
    <w:rsid w:val="00EE28CA"/>
    <w:rsid w:val="00F12899"/>
    <w:rsid w:val="00F145D8"/>
    <w:rsid w:val="00F169AC"/>
    <w:rsid w:val="00F20BC9"/>
    <w:rsid w:val="00F34187"/>
    <w:rsid w:val="00F37647"/>
    <w:rsid w:val="00F417B9"/>
    <w:rsid w:val="00F41E2C"/>
    <w:rsid w:val="00F42B9D"/>
    <w:rsid w:val="00F463D2"/>
    <w:rsid w:val="00F50D39"/>
    <w:rsid w:val="00F5153A"/>
    <w:rsid w:val="00F6249E"/>
    <w:rsid w:val="00F64929"/>
    <w:rsid w:val="00F657F3"/>
    <w:rsid w:val="00F6753B"/>
    <w:rsid w:val="00F721CD"/>
    <w:rsid w:val="00F96825"/>
    <w:rsid w:val="00FA3658"/>
    <w:rsid w:val="00FA7F92"/>
    <w:rsid w:val="00FB2342"/>
    <w:rsid w:val="00FC0899"/>
    <w:rsid w:val="00FC0992"/>
    <w:rsid w:val="00FC50F3"/>
    <w:rsid w:val="00FF3F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A1E04"/>
  <w15:chartTrackingRefBased/>
  <w15:docId w15:val="{3070C48E-6444-4C14-95DC-F3994B2A8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261"/>
    <w:rPr>
      <w:rFonts w:ascii="Arial" w:hAnsi="Arial"/>
      <w:sz w:val="20"/>
    </w:rPr>
  </w:style>
  <w:style w:type="paragraph" w:styleId="Heading1">
    <w:name w:val="heading 1"/>
    <w:basedOn w:val="Normal"/>
    <w:next w:val="Normal"/>
    <w:link w:val="Heading1Char"/>
    <w:uiPriority w:val="9"/>
    <w:qFormat/>
    <w:rsid w:val="005D7C6B"/>
    <w:pPr>
      <w:keepNext/>
      <w:keepLines/>
      <w:spacing w:before="240" w:after="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12545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125450"/>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2E386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50D3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5450"/>
    <w:pPr>
      <w:tabs>
        <w:tab w:val="center" w:pos="4419"/>
        <w:tab w:val="right" w:pos="8838"/>
      </w:tabs>
      <w:spacing w:after="0" w:line="240" w:lineRule="auto"/>
    </w:pPr>
  </w:style>
  <w:style w:type="character" w:customStyle="1" w:styleId="HeaderChar">
    <w:name w:val="Header Char"/>
    <w:basedOn w:val="DefaultParagraphFont"/>
    <w:link w:val="Header"/>
    <w:uiPriority w:val="99"/>
    <w:rsid w:val="00125450"/>
  </w:style>
  <w:style w:type="paragraph" w:styleId="Footer">
    <w:name w:val="footer"/>
    <w:basedOn w:val="Normal"/>
    <w:link w:val="FooterChar"/>
    <w:uiPriority w:val="99"/>
    <w:unhideWhenUsed/>
    <w:rsid w:val="00125450"/>
    <w:pPr>
      <w:tabs>
        <w:tab w:val="center" w:pos="4419"/>
        <w:tab w:val="right" w:pos="8838"/>
      </w:tabs>
      <w:spacing w:after="0" w:line="240" w:lineRule="auto"/>
    </w:pPr>
  </w:style>
  <w:style w:type="character" w:customStyle="1" w:styleId="FooterChar">
    <w:name w:val="Footer Char"/>
    <w:basedOn w:val="DefaultParagraphFont"/>
    <w:link w:val="Footer"/>
    <w:uiPriority w:val="99"/>
    <w:rsid w:val="00125450"/>
  </w:style>
  <w:style w:type="character" w:customStyle="1" w:styleId="Heading1Char">
    <w:name w:val="Heading 1 Char"/>
    <w:basedOn w:val="DefaultParagraphFont"/>
    <w:link w:val="Heading1"/>
    <w:uiPriority w:val="9"/>
    <w:rsid w:val="005D7C6B"/>
    <w:rPr>
      <w:rFonts w:ascii="Arial" w:eastAsiaTheme="majorEastAsia" w:hAnsi="Arial" w:cstheme="majorBidi"/>
      <w:b/>
      <w:sz w:val="28"/>
      <w:szCs w:val="32"/>
    </w:rPr>
  </w:style>
  <w:style w:type="paragraph" w:styleId="TOCHeading">
    <w:name w:val="TOC Heading"/>
    <w:basedOn w:val="Heading1"/>
    <w:next w:val="Normal"/>
    <w:uiPriority w:val="39"/>
    <w:unhideWhenUsed/>
    <w:qFormat/>
    <w:rsid w:val="00125450"/>
    <w:pPr>
      <w:outlineLvl w:val="9"/>
    </w:pPr>
    <w:rPr>
      <w:lang w:eastAsia="es-MX"/>
    </w:rPr>
  </w:style>
  <w:style w:type="paragraph" w:styleId="Bibliography">
    <w:name w:val="Bibliography"/>
    <w:basedOn w:val="Normal"/>
    <w:next w:val="Normal"/>
    <w:uiPriority w:val="37"/>
    <w:unhideWhenUsed/>
    <w:rsid w:val="00125450"/>
  </w:style>
  <w:style w:type="character" w:customStyle="1" w:styleId="Heading2Char">
    <w:name w:val="Heading 2 Char"/>
    <w:basedOn w:val="DefaultParagraphFont"/>
    <w:link w:val="Heading2"/>
    <w:uiPriority w:val="9"/>
    <w:rsid w:val="00125450"/>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125450"/>
    <w:rPr>
      <w:rFonts w:asciiTheme="majorHAnsi" w:eastAsiaTheme="majorEastAsia" w:hAnsiTheme="majorHAnsi" w:cstheme="majorBidi"/>
      <w:b/>
      <w:bCs/>
      <w:color w:val="5B9BD5" w:themeColor="accent1"/>
    </w:rPr>
  </w:style>
  <w:style w:type="paragraph" w:customStyle="1" w:styleId="Default">
    <w:name w:val="Default"/>
    <w:rsid w:val="00125450"/>
    <w:pPr>
      <w:autoSpaceDE w:val="0"/>
      <w:autoSpaceDN w:val="0"/>
      <w:adjustRightInd w:val="0"/>
      <w:spacing w:after="0" w:line="240" w:lineRule="auto"/>
    </w:pPr>
    <w:rPr>
      <w:rFonts w:ascii="Arial" w:eastAsiaTheme="minorEastAsia" w:hAnsi="Arial" w:cs="Arial"/>
      <w:color w:val="000000"/>
      <w:sz w:val="24"/>
      <w:szCs w:val="24"/>
      <w:lang w:eastAsia="es-MX"/>
    </w:rPr>
  </w:style>
  <w:style w:type="paragraph" w:styleId="BalloonText">
    <w:name w:val="Balloon Text"/>
    <w:basedOn w:val="Normal"/>
    <w:link w:val="BalloonTextChar"/>
    <w:uiPriority w:val="99"/>
    <w:semiHidden/>
    <w:unhideWhenUsed/>
    <w:rsid w:val="00125450"/>
    <w:pPr>
      <w:spacing w:after="0" w:line="240" w:lineRule="auto"/>
    </w:pPr>
    <w:rPr>
      <w:rFonts w:ascii="Tahoma" w:eastAsia="Times New Roman" w:hAnsi="Tahoma" w:cs="Tahoma"/>
      <w:sz w:val="16"/>
      <w:szCs w:val="16"/>
      <w:lang w:eastAsia="es-MX"/>
    </w:rPr>
  </w:style>
  <w:style w:type="character" w:customStyle="1" w:styleId="BalloonTextChar">
    <w:name w:val="Balloon Text Char"/>
    <w:basedOn w:val="DefaultParagraphFont"/>
    <w:link w:val="BalloonText"/>
    <w:uiPriority w:val="99"/>
    <w:semiHidden/>
    <w:rsid w:val="00125450"/>
    <w:rPr>
      <w:rFonts w:ascii="Tahoma" w:eastAsia="Times New Roman" w:hAnsi="Tahoma" w:cs="Tahoma"/>
      <w:sz w:val="16"/>
      <w:szCs w:val="16"/>
      <w:lang w:eastAsia="es-MX"/>
    </w:rPr>
  </w:style>
  <w:style w:type="character" w:styleId="Hyperlink">
    <w:name w:val="Hyperlink"/>
    <w:basedOn w:val="DefaultParagraphFont"/>
    <w:uiPriority w:val="99"/>
    <w:unhideWhenUsed/>
    <w:rsid w:val="00125450"/>
    <w:rPr>
      <w:color w:val="0563C1" w:themeColor="hyperlink"/>
      <w:u w:val="single"/>
    </w:rPr>
  </w:style>
  <w:style w:type="paragraph" w:styleId="TOC1">
    <w:name w:val="toc 1"/>
    <w:basedOn w:val="Normal"/>
    <w:next w:val="Normal"/>
    <w:autoRedefine/>
    <w:uiPriority w:val="39"/>
    <w:unhideWhenUsed/>
    <w:rsid w:val="00673414"/>
    <w:pPr>
      <w:tabs>
        <w:tab w:val="right" w:leader="dot" w:pos="9639"/>
      </w:tabs>
      <w:spacing w:before="120" w:after="240" w:line="240" w:lineRule="auto"/>
      <w:jc w:val="both"/>
    </w:pPr>
    <w:rPr>
      <w:rFonts w:cs="Arial"/>
      <w:b/>
      <w:bCs/>
      <w:noProof/>
      <w:sz w:val="18"/>
      <w:szCs w:val="18"/>
    </w:rPr>
  </w:style>
  <w:style w:type="paragraph" w:customStyle="1" w:styleId="TTULO11">
    <w:name w:val="TÍTULO 1.1"/>
    <w:basedOn w:val="Default"/>
    <w:qFormat/>
    <w:rsid w:val="00125450"/>
    <w:pPr>
      <w:spacing w:line="360" w:lineRule="auto"/>
      <w:jc w:val="center"/>
    </w:pPr>
    <w:rPr>
      <w:b/>
      <w:caps/>
      <w:color w:val="auto"/>
    </w:rPr>
  </w:style>
  <w:style w:type="paragraph" w:customStyle="1" w:styleId="TTULO12">
    <w:name w:val="TÍTULO 1.2"/>
    <w:basedOn w:val="TTULO11"/>
    <w:qFormat/>
    <w:rsid w:val="00125450"/>
    <w:pPr>
      <w:ind w:left="708"/>
      <w:jc w:val="left"/>
    </w:pPr>
    <w:rPr>
      <w:b w:val="0"/>
      <w:i/>
      <w:caps w:val="0"/>
    </w:rPr>
  </w:style>
  <w:style w:type="paragraph" w:styleId="TOC2">
    <w:name w:val="toc 2"/>
    <w:basedOn w:val="Normal"/>
    <w:next w:val="Normal"/>
    <w:autoRedefine/>
    <w:uiPriority w:val="39"/>
    <w:unhideWhenUsed/>
    <w:rsid w:val="00125450"/>
    <w:pPr>
      <w:spacing w:after="0" w:line="276" w:lineRule="auto"/>
      <w:ind w:left="220"/>
    </w:pPr>
    <w:rPr>
      <w:smallCaps/>
      <w:szCs w:val="20"/>
    </w:rPr>
  </w:style>
  <w:style w:type="paragraph" w:styleId="TOC3">
    <w:name w:val="toc 3"/>
    <w:basedOn w:val="Normal"/>
    <w:next w:val="Normal"/>
    <w:autoRedefine/>
    <w:uiPriority w:val="39"/>
    <w:unhideWhenUsed/>
    <w:rsid w:val="00125450"/>
    <w:pPr>
      <w:spacing w:after="0" w:line="276" w:lineRule="auto"/>
      <w:ind w:left="440"/>
    </w:pPr>
    <w:rPr>
      <w:i/>
      <w:iCs/>
      <w:szCs w:val="20"/>
    </w:rPr>
  </w:style>
  <w:style w:type="paragraph" w:styleId="TOC4">
    <w:name w:val="toc 4"/>
    <w:basedOn w:val="Normal"/>
    <w:next w:val="Normal"/>
    <w:autoRedefine/>
    <w:uiPriority w:val="39"/>
    <w:unhideWhenUsed/>
    <w:rsid w:val="00125450"/>
    <w:pPr>
      <w:spacing w:after="0" w:line="276" w:lineRule="auto"/>
      <w:ind w:left="660"/>
    </w:pPr>
    <w:rPr>
      <w:sz w:val="18"/>
      <w:szCs w:val="18"/>
    </w:rPr>
  </w:style>
  <w:style w:type="paragraph" w:styleId="TOC5">
    <w:name w:val="toc 5"/>
    <w:basedOn w:val="Normal"/>
    <w:next w:val="Normal"/>
    <w:autoRedefine/>
    <w:uiPriority w:val="39"/>
    <w:unhideWhenUsed/>
    <w:rsid w:val="00125450"/>
    <w:pPr>
      <w:spacing w:after="0" w:line="276" w:lineRule="auto"/>
      <w:ind w:left="880"/>
    </w:pPr>
    <w:rPr>
      <w:sz w:val="18"/>
      <w:szCs w:val="18"/>
    </w:rPr>
  </w:style>
  <w:style w:type="paragraph" w:styleId="TOC6">
    <w:name w:val="toc 6"/>
    <w:basedOn w:val="Normal"/>
    <w:next w:val="Normal"/>
    <w:autoRedefine/>
    <w:uiPriority w:val="39"/>
    <w:unhideWhenUsed/>
    <w:rsid w:val="00125450"/>
    <w:pPr>
      <w:spacing w:after="0" w:line="276" w:lineRule="auto"/>
      <w:ind w:left="1100"/>
    </w:pPr>
    <w:rPr>
      <w:sz w:val="18"/>
      <w:szCs w:val="18"/>
    </w:rPr>
  </w:style>
  <w:style w:type="paragraph" w:styleId="TOC7">
    <w:name w:val="toc 7"/>
    <w:basedOn w:val="Normal"/>
    <w:next w:val="Normal"/>
    <w:autoRedefine/>
    <w:uiPriority w:val="39"/>
    <w:unhideWhenUsed/>
    <w:rsid w:val="00125450"/>
    <w:pPr>
      <w:spacing w:after="0" w:line="276" w:lineRule="auto"/>
      <w:ind w:left="1320"/>
    </w:pPr>
    <w:rPr>
      <w:sz w:val="18"/>
      <w:szCs w:val="18"/>
    </w:rPr>
  </w:style>
  <w:style w:type="paragraph" w:styleId="TOC8">
    <w:name w:val="toc 8"/>
    <w:basedOn w:val="Normal"/>
    <w:next w:val="Normal"/>
    <w:autoRedefine/>
    <w:uiPriority w:val="39"/>
    <w:unhideWhenUsed/>
    <w:rsid w:val="00125450"/>
    <w:pPr>
      <w:spacing w:after="0" w:line="276" w:lineRule="auto"/>
      <w:ind w:left="1540"/>
    </w:pPr>
    <w:rPr>
      <w:sz w:val="18"/>
      <w:szCs w:val="18"/>
    </w:rPr>
  </w:style>
  <w:style w:type="paragraph" w:styleId="TOC9">
    <w:name w:val="toc 9"/>
    <w:basedOn w:val="Normal"/>
    <w:next w:val="Normal"/>
    <w:autoRedefine/>
    <w:uiPriority w:val="39"/>
    <w:unhideWhenUsed/>
    <w:rsid w:val="00125450"/>
    <w:pPr>
      <w:spacing w:after="0" w:line="276" w:lineRule="auto"/>
      <w:ind w:left="1760"/>
    </w:pPr>
    <w:rPr>
      <w:sz w:val="18"/>
      <w:szCs w:val="18"/>
    </w:rPr>
  </w:style>
  <w:style w:type="paragraph" w:customStyle="1" w:styleId="CONTENIDO11">
    <w:name w:val="CONTENIDO 1.1"/>
    <w:basedOn w:val="Normal"/>
    <w:qFormat/>
    <w:rsid w:val="00125450"/>
    <w:pPr>
      <w:spacing w:after="0" w:line="360" w:lineRule="auto"/>
      <w:jc w:val="both"/>
    </w:pPr>
    <w:rPr>
      <w:sz w:val="24"/>
      <w:szCs w:val="24"/>
    </w:rPr>
  </w:style>
  <w:style w:type="character" w:styleId="Emphasis">
    <w:name w:val="Emphasis"/>
    <w:basedOn w:val="DefaultParagraphFont"/>
    <w:uiPriority w:val="20"/>
    <w:qFormat/>
    <w:rsid w:val="00125450"/>
    <w:rPr>
      <w:i/>
      <w:iCs/>
    </w:rPr>
  </w:style>
  <w:style w:type="paragraph" w:styleId="NormalWeb">
    <w:name w:val="Normal (Web)"/>
    <w:basedOn w:val="Normal"/>
    <w:uiPriority w:val="99"/>
    <w:unhideWhenUsed/>
    <w:rsid w:val="00125450"/>
    <w:pPr>
      <w:spacing w:before="100" w:beforeAutospacing="1" w:after="100" w:afterAutospacing="1"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125450"/>
    <w:pPr>
      <w:spacing w:after="0" w:line="240" w:lineRule="auto"/>
    </w:pPr>
    <w:rPr>
      <w:rFonts w:ascii="Tahoma" w:eastAsia="Times New Roman" w:hAnsi="Tahoma" w:cs="Tahoma"/>
      <w:sz w:val="16"/>
      <w:szCs w:val="16"/>
      <w:lang w:eastAsia="es-MX"/>
    </w:rPr>
  </w:style>
  <w:style w:type="character" w:customStyle="1" w:styleId="DocumentMapChar">
    <w:name w:val="Document Map Char"/>
    <w:basedOn w:val="DefaultParagraphFont"/>
    <w:link w:val="DocumentMap"/>
    <w:uiPriority w:val="99"/>
    <w:semiHidden/>
    <w:rsid w:val="00125450"/>
    <w:rPr>
      <w:rFonts w:ascii="Tahoma" w:eastAsia="Times New Roman" w:hAnsi="Tahoma" w:cs="Tahoma"/>
      <w:sz w:val="16"/>
      <w:szCs w:val="16"/>
      <w:lang w:eastAsia="es-MX"/>
    </w:rPr>
  </w:style>
  <w:style w:type="character" w:styleId="FollowedHyperlink">
    <w:name w:val="FollowedHyperlink"/>
    <w:basedOn w:val="DefaultParagraphFont"/>
    <w:uiPriority w:val="99"/>
    <w:semiHidden/>
    <w:unhideWhenUsed/>
    <w:rsid w:val="00125450"/>
    <w:rPr>
      <w:color w:val="954F72" w:themeColor="followedHyperlink"/>
      <w:u w:val="single"/>
    </w:rPr>
  </w:style>
  <w:style w:type="paragraph" w:customStyle="1" w:styleId="Ttulo13">
    <w:name w:val="Título 1.3"/>
    <w:basedOn w:val="TTULO12"/>
    <w:qFormat/>
    <w:rsid w:val="00125450"/>
    <w:pPr>
      <w:ind w:left="1416"/>
    </w:pPr>
  </w:style>
  <w:style w:type="paragraph" w:customStyle="1" w:styleId="Cuerpo">
    <w:name w:val="Cuerpo"/>
    <w:rsid w:val="0012545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MX"/>
    </w:rPr>
  </w:style>
  <w:style w:type="table" w:styleId="TableGrid">
    <w:name w:val="Table Grid"/>
    <w:basedOn w:val="TableNormal"/>
    <w:uiPriority w:val="39"/>
    <w:rsid w:val="00125450"/>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apítulo,Subtitulo1"/>
    <w:basedOn w:val="Normal"/>
    <w:link w:val="ListParagraphChar"/>
    <w:uiPriority w:val="34"/>
    <w:qFormat/>
    <w:rsid w:val="00125450"/>
    <w:pPr>
      <w:spacing w:after="200" w:line="276" w:lineRule="auto"/>
      <w:ind w:left="720"/>
      <w:contextualSpacing/>
    </w:pPr>
  </w:style>
  <w:style w:type="character" w:customStyle="1" w:styleId="apple-converted-space">
    <w:name w:val="apple-converted-space"/>
    <w:basedOn w:val="DefaultParagraphFont"/>
    <w:rsid w:val="00125450"/>
  </w:style>
  <w:style w:type="paragraph" w:customStyle="1" w:styleId="q">
    <w:name w:val="q"/>
    <w:basedOn w:val="Normal"/>
    <w:rsid w:val="001254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
    <w:name w:val="d"/>
    <w:basedOn w:val="DefaultParagraphFont"/>
    <w:rsid w:val="00125450"/>
  </w:style>
  <w:style w:type="character" w:customStyle="1" w:styleId="g">
    <w:name w:val="g"/>
    <w:basedOn w:val="DefaultParagraphFont"/>
    <w:rsid w:val="00125450"/>
  </w:style>
  <w:style w:type="character" w:customStyle="1" w:styleId="b">
    <w:name w:val="b"/>
    <w:basedOn w:val="DefaultParagraphFont"/>
    <w:rsid w:val="00125450"/>
  </w:style>
  <w:style w:type="character" w:customStyle="1" w:styleId="watch-title">
    <w:name w:val="watch-title"/>
    <w:basedOn w:val="DefaultParagraphFont"/>
    <w:rsid w:val="00125450"/>
    <w:rPr>
      <w:sz w:val="24"/>
      <w:szCs w:val="24"/>
      <w:bdr w:val="none" w:sz="0" w:space="0" w:color="auto" w:frame="1"/>
      <w:shd w:val="clear" w:color="auto" w:fill="auto"/>
    </w:rPr>
  </w:style>
  <w:style w:type="character" w:styleId="Strong">
    <w:name w:val="Strong"/>
    <w:basedOn w:val="DefaultParagraphFont"/>
    <w:uiPriority w:val="22"/>
    <w:qFormat/>
    <w:rsid w:val="00125450"/>
    <w:rPr>
      <w:b/>
      <w:bCs/>
    </w:rPr>
  </w:style>
  <w:style w:type="character" w:styleId="PlaceholderText">
    <w:name w:val="Placeholder Text"/>
    <w:basedOn w:val="DefaultParagraphFont"/>
    <w:uiPriority w:val="99"/>
    <w:semiHidden/>
    <w:rsid w:val="00125450"/>
    <w:rPr>
      <w:color w:val="808080"/>
    </w:rPr>
  </w:style>
  <w:style w:type="paragraph" w:customStyle="1" w:styleId="Estilo2bis">
    <w:name w:val="Estilo2bis"/>
    <w:basedOn w:val="Normal"/>
    <w:qFormat/>
    <w:rsid w:val="00125450"/>
    <w:pPr>
      <w:numPr>
        <w:numId w:val="1"/>
      </w:numPr>
      <w:tabs>
        <w:tab w:val="left" w:pos="284"/>
      </w:tabs>
      <w:spacing w:before="100" w:after="100" w:line="240" w:lineRule="auto"/>
    </w:pPr>
    <w:rPr>
      <w:rFonts w:eastAsia="TimesNewRomanPSMT" w:cs="Arial"/>
      <w:b/>
      <w:sz w:val="16"/>
      <w:szCs w:val="16"/>
    </w:rPr>
  </w:style>
  <w:style w:type="paragraph" w:styleId="BodyTextIndent">
    <w:name w:val="Body Text Indent"/>
    <w:basedOn w:val="Normal"/>
    <w:link w:val="BodyTextIndentChar"/>
    <w:rsid w:val="00125450"/>
    <w:pPr>
      <w:spacing w:after="0" w:line="360" w:lineRule="auto"/>
      <w:ind w:left="4248"/>
    </w:pPr>
    <w:rPr>
      <w:rFonts w:ascii="Times New Roman" w:eastAsia="Times New Roman" w:hAnsi="Times New Roman" w:cs="Times New Roman"/>
      <w:sz w:val="24"/>
      <w:szCs w:val="24"/>
      <w:lang w:eastAsia="es-ES"/>
    </w:rPr>
  </w:style>
  <w:style w:type="character" w:customStyle="1" w:styleId="BodyTextIndentChar">
    <w:name w:val="Body Text Indent Char"/>
    <w:basedOn w:val="DefaultParagraphFont"/>
    <w:link w:val="BodyTextIndent"/>
    <w:rsid w:val="00125450"/>
    <w:rPr>
      <w:rFonts w:ascii="Times New Roman" w:eastAsia="Times New Roman" w:hAnsi="Times New Roman" w:cs="Times New Roman"/>
      <w:sz w:val="24"/>
      <w:szCs w:val="24"/>
      <w:lang w:eastAsia="es-ES"/>
    </w:rPr>
  </w:style>
  <w:style w:type="paragraph" w:customStyle="1" w:styleId="Text">
    <w:name w:val="Text"/>
    <w:basedOn w:val="Normal"/>
    <w:rsid w:val="00125450"/>
    <w:pPr>
      <w:widowControl w:val="0"/>
      <w:autoSpaceDE w:val="0"/>
      <w:autoSpaceDN w:val="0"/>
      <w:spacing w:after="0" w:line="252" w:lineRule="auto"/>
      <w:ind w:firstLine="204"/>
    </w:pPr>
    <w:rPr>
      <w:rFonts w:ascii="Times New Roman" w:eastAsia="Times New Roman" w:hAnsi="Times New Roman" w:cs="Times New Roman"/>
      <w:szCs w:val="20"/>
    </w:rPr>
  </w:style>
  <w:style w:type="paragraph" w:customStyle="1" w:styleId="BContenido">
    <w:name w:val="B. Contenido"/>
    <w:basedOn w:val="Normal"/>
    <w:qFormat/>
    <w:rsid w:val="00125450"/>
    <w:pPr>
      <w:spacing w:before="240" w:after="240" w:line="240" w:lineRule="auto"/>
      <w:ind w:right="465"/>
      <w:jc w:val="both"/>
    </w:pPr>
    <w:rPr>
      <w:rFonts w:eastAsia="Times New Roman" w:cs="Helvetica"/>
      <w:bCs/>
      <w:color w:val="000000"/>
      <w:sz w:val="24"/>
      <w:szCs w:val="28"/>
      <w:lang w:val="es-ES" w:eastAsia="es-MX"/>
    </w:rPr>
  </w:style>
  <w:style w:type="table" w:customStyle="1" w:styleId="Cuadrculadetablaclara1">
    <w:name w:val="Cuadrícula de tabla clara1"/>
    <w:basedOn w:val="TableNormal"/>
    <w:uiPriority w:val="40"/>
    <w:rsid w:val="001254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nternetLink">
    <w:name w:val="Internet Link"/>
    <w:basedOn w:val="DefaultParagraphFont"/>
    <w:uiPriority w:val="99"/>
    <w:unhideWhenUsed/>
    <w:rsid w:val="005D7C6B"/>
    <w:rPr>
      <w:color w:val="0563C1"/>
      <w:u w:val="single"/>
    </w:rPr>
  </w:style>
  <w:style w:type="character" w:styleId="FootnoteReference">
    <w:name w:val="footnote reference"/>
    <w:basedOn w:val="DefaultParagraphFont"/>
    <w:uiPriority w:val="99"/>
    <w:unhideWhenUsed/>
    <w:rsid w:val="005D7C6B"/>
    <w:rPr>
      <w:vertAlign w:val="superscript"/>
    </w:rPr>
  </w:style>
  <w:style w:type="character" w:customStyle="1" w:styleId="FootnoteAnchor">
    <w:name w:val="Footnote Anchor"/>
    <w:rsid w:val="005D7C6B"/>
    <w:rPr>
      <w:vertAlign w:val="superscript"/>
    </w:rPr>
  </w:style>
  <w:style w:type="paragraph" w:customStyle="1" w:styleId="Footnote">
    <w:name w:val="Footnote"/>
    <w:basedOn w:val="Normal"/>
    <w:rsid w:val="005D7C6B"/>
    <w:pPr>
      <w:suppressAutoHyphens/>
    </w:pPr>
    <w:rPr>
      <w:rFonts w:ascii="Calibri" w:eastAsia="Droid Sans Fallback" w:hAnsi="Calibri" w:cs="Times New Roman"/>
    </w:rPr>
  </w:style>
  <w:style w:type="paragraph" w:customStyle="1" w:styleId="TableContents">
    <w:name w:val="Table Contents"/>
    <w:basedOn w:val="Normal"/>
    <w:rsid w:val="005D7C6B"/>
    <w:pPr>
      <w:suppressAutoHyphens/>
    </w:pPr>
    <w:rPr>
      <w:rFonts w:ascii="Calibri" w:eastAsia="Droid Sans Fallback" w:hAnsi="Calibri" w:cs="Times New Roman"/>
    </w:rPr>
  </w:style>
  <w:style w:type="paragraph" w:styleId="FootnoteText">
    <w:name w:val="footnote text"/>
    <w:basedOn w:val="Normal"/>
    <w:link w:val="FootnoteTextChar"/>
    <w:uiPriority w:val="99"/>
    <w:unhideWhenUsed/>
    <w:rsid w:val="008A381F"/>
    <w:pPr>
      <w:spacing w:after="0" w:line="240" w:lineRule="auto"/>
    </w:pPr>
    <w:rPr>
      <w:szCs w:val="20"/>
    </w:rPr>
  </w:style>
  <w:style w:type="character" w:customStyle="1" w:styleId="FootnoteTextChar">
    <w:name w:val="Footnote Text Char"/>
    <w:basedOn w:val="DefaultParagraphFont"/>
    <w:link w:val="FootnoteText"/>
    <w:uiPriority w:val="99"/>
    <w:rsid w:val="008A381F"/>
    <w:rPr>
      <w:sz w:val="20"/>
      <w:szCs w:val="20"/>
    </w:rPr>
  </w:style>
  <w:style w:type="paragraph" w:customStyle="1" w:styleId="MTDisplayEquation">
    <w:name w:val="MTDisplayEquation"/>
    <w:basedOn w:val="Normal"/>
    <w:next w:val="Normal"/>
    <w:rsid w:val="00D54C90"/>
    <w:pPr>
      <w:tabs>
        <w:tab w:val="center" w:pos="4240"/>
        <w:tab w:val="right" w:pos="8500"/>
      </w:tabs>
      <w:spacing w:after="0" w:line="360" w:lineRule="auto"/>
    </w:pPr>
    <w:rPr>
      <w:rFonts w:eastAsia="Times New Roman" w:cs="Arial"/>
      <w:szCs w:val="20"/>
      <w:lang w:val="es-ES" w:eastAsia="es-ES"/>
    </w:rPr>
  </w:style>
  <w:style w:type="character" w:customStyle="1" w:styleId="RefsChar">
    <w:name w:val="Refs Char"/>
    <w:link w:val="Refs"/>
    <w:locked/>
    <w:rsid w:val="00D54C90"/>
    <w:rPr>
      <w:sz w:val="16"/>
    </w:rPr>
  </w:style>
  <w:style w:type="paragraph" w:customStyle="1" w:styleId="Refs">
    <w:name w:val="Refs"/>
    <w:basedOn w:val="Normal"/>
    <w:link w:val="RefsChar"/>
    <w:rsid w:val="00D54C90"/>
    <w:pPr>
      <w:spacing w:after="0" w:line="240" w:lineRule="auto"/>
      <w:ind w:firstLine="270"/>
    </w:pPr>
    <w:rPr>
      <w:sz w:val="16"/>
    </w:rPr>
  </w:style>
  <w:style w:type="paragraph" w:customStyle="1" w:styleId="MTDisplayEquation2">
    <w:name w:val="MTDisplayEquation+2"/>
    <w:basedOn w:val="Default"/>
    <w:next w:val="Default"/>
    <w:uiPriority w:val="99"/>
    <w:rsid w:val="003F1173"/>
    <w:rPr>
      <w:rFonts w:ascii="Times New Roman" w:eastAsia="Times New Roman" w:hAnsi="Times New Roman" w:cs="Times New Roman"/>
      <w:color w:val="auto"/>
      <w:lang w:val="es-ES" w:eastAsia="es-ES"/>
    </w:rPr>
  </w:style>
  <w:style w:type="paragraph" w:customStyle="1" w:styleId="Normal2">
    <w:name w:val="Normal+2"/>
    <w:basedOn w:val="Default"/>
    <w:next w:val="Default"/>
    <w:uiPriority w:val="99"/>
    <w:rsid w:val="003F1173"/>
    <w:rPr>
      <w:rFonts w:ascii="Times New Roman" w:eastAsia="Times New Roman" w:hAnsi="Times New Roman" w:cs="Times New Roman"/>
      <w:color w:val="auto"/>
      <w:lang w:val="es-ES" w:eastAsia="es-ES"/>
    </w:rPr>
  </w:style>
  <w:style w:type="paragraph" w:customStyle="1" w:styleId="Autores">
    <w:name w:val="Autores"/>
    <w:basedOn w:val="Normal"/>
    <w:link w:val="AutoresChar"/>
    <w:qFormat/>
    <w:rsid w:val="00870377"/>
    <w:pPr>
      <w:autoSpaceDE w:val="0"/>
      <w:autoSpaceDN w:val="0"/>
      <w:spacing w:before="225" w:after="330" w:line="240" w:lineRule="auto"/>
      <w:ind w:firstLine="270"/>
      <w:jc w:val="center"/>
    </w:pPr>
    <w:rPr>
      <w:rFonts w:ascii="Times New Roman" w:eastAsia="Times New Roman" w:hAnsi="Times New Roman" w:cs="Times New Roman"/>
      <w:color w:val="1F497D"/>
    </w:rPr>
  </w:style>
  <w:style w:type="paragraph" w:customStyle="1" w:styleId="Resumen">
    <w:name w:val="Resumen"/>
    <w:basedOn w:val="Normal"/>
    <w:link w:val="ResumenChar"/>
    <w:qFormat/>
    <w:rsid w:val="00870377"/>
    <w:pPr>
      <w:autoSpaceDE w:val="0"/>
      <w:autoSpaceDN w:val="0"/>
      <w:spacing w:before="20" w:after="0" w:line="240" w:lineRule="auto"/>
      <w:ind w:firstLine="202"/>
      <w:jc w:val="both"/>
    </w:pPr>
    <w:rPr>
      <w:rFonts w:ascii="Times New Roman" w:eastAsia="Times New Roman" w:hAnsi="Times New Roman" w:cs="Times New Roman"/>
      <w:b/>
      <w:bCs/>
      <w:iCs/>
      <w:color w:val="1F497D"/>
      <w:sz w:val="18"/>
      <w:szCs w:val="18"/>
    </w:rPr>
  </w:style>
  <w:style w:type="character" w:customStyle="1" w:styleId="AutoresChar">
    <w:name w:val="Autores Char"/>
    <w:basedOn w:val="DefaultParagraphFont"/>
    <w:link w:val="Autores"/>
    <w:rsid w:val="00870377"/>
    <w:rPr>
      <w:rFonts w:ascii="Times New Roman" w:eastAsia="Times New Roman" w:hAnsi="Times New Roman" w:cs="Times New Roman"/>
      <w:color w:val="1F497D"/>
      <w:sz w:val="20"/>
    </w:rPr>
  </w:style>
  <w:style w:type="character" w:customStyle="1" w:styleId="ResumenChar">
    <w:name w:val="Resumen Char"/>
    <w:basedOn w:val="DefaultParagraphFont"/>
    <w:link w:val="Resumen"/>
    <w:rsid w:val="00870377"/>
    <w:rPr>
      <w:rFonts w:ascii="Times New Roman" w:eastAsia="Times New Roman" w:hAnsi="Times New Roman" w:cs="Times New Roman"/>
      <w:b/>
      <w:bCs/>
      <w:iCs/>
      <w:color w:val="1F497D"/>
      <w:sz w:val="18"/>
      <w:szCs w:val="18"/>
    </w:rPr>
  </w:style>
  <w:style w:type="table" w:customStyle="1" w:styleId="Tablanormal21">
    <w:name w:val="Tabla normal 21"/>
    <w:basedOn w:val="TableNormal"/>
    <w:uiPriority w:val="99"/>
    <w:rsid w:val="0087037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20">
    <w:name w:val="Pa20"/>
    <w:basedOn w:val="Normal"/>
    <w:next w:val="Normal"/>
    <w:uiPriority w:val="99"/>
    <w:rsid w:val="00C66FEC"/>
    <w:pPr>
      <w:autoSpaceDE w:val="0"/>
      <w:autoSpaceDN w:val="0"/>
      <w:adjustRightInd w:val="0"/>
      <w:spacing w:after="0" w:line="221" w:lineRule="atLeast"/>
    </w:pPr>
    <w:rPr>
      <w:rFonts w:ascii="Garamond" w:hAnsi="Garamond"/>
      <w:sz w:val="24"/>
      <w:szCs w:val="24"/>
    </w:rPr>
  </w:style>
  <w:style w:type="paragraph" w:styleId="BodyTextIndent3">
    <w:name w:val="Body Text Indent 3"/>
    <w:basedOn w:val="Normal"/>
    <w:link w:val="BodyTextIndent3Char"/>
    <w:uiPriority w:val="99"/>
    <w:semiHidden/>
    <w:unhideWhenUsed/>
    <w:rsid w:val="0046661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6661E"/>
    <w:rPr>
      <w:sz w:val="16"/>
      <w:szCs w:val="16"/>
    </w:rPr>
  </w:style>
  <w:style w:type="paragraph" w:customStyle="1" w:styleId="rvps3">
    <w:name w:val="rvps3"/>
    <w:basedOn w:val="Normal"/>
    <w:rsid w:val="0046661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CommentReference">
    <w:name w:val="annotation reference"/>
    <w:uiPriority w:val="99"/>
    <w:semiHidden/>
    <w:unhideWhenUsed/>
    <w:rsid w:val="00026784"/>
    <w:rPr>
      <w:sz w:val="16"/>
      <w:szCs w:val="16"/>
    </w:rPr>
  </w:style>
  <w:style w:type="paragraph" w:styleId="CommentText">
    <w:name w:val="annotation text"/>
    <w:basedOn w:val="Normal"/>
    <w:link w:val="CommentTextChar"/>
    <w:uiPriority w:val="99"/>
    <w:unhideWhenUsed/>
    <w:rsid w:val="00026784"/>
    <w:pPr>
      <w:spacing w:after="0" w:line="240" w:lineRule="auto"/>
    </w:pPr>
    <w:rPr>
      <w:rFonts w:ascii="Times New Roman" w:eastAsia="Times New Roman" w:hAnsi="Times New Roman" w:cs="Times New Roman"/>
      <w:szCs w:val="20"/>
      <w:lang w:val="ru-RU" w:eastAsia="ru-RU"/>
    </w:rPr>
  </w:style>
  <w:style w:type="character" w:customStyle="1" w:styleId="CommentTextChar">
    <w:name w:val="Comment Text Char"/>
    <w:basedOn w:val="DefaultParagraphFont"/>
    <w:link w:val="CommentText"/>
    <w:uiPriority w:val="99"/>
    <w:rsid w:val="00026784"/>
    <w:rPr>
      <w:rFonts w:ascii="Times New Roman" w:eastAsia="Times New Roman" w:hAnsi="Times New Roman" w:cs="Times New Roman"/>
      <w:sz w:val="20"/>
      <w:szCs w:val="20"/>
      <w:lang w:val="ru-RU" w:eastAsia="ru-RU"/>
    </w:rPr>
  </w:style>
  <w:style w:type="paragraph" w:customStyle="1" w:styleId="Descripcin1">
    <w:name w:val="Descripción1"/>
    <w:basedOn w:val="Normal"/>
    <w:next w:val="Normal"/>
    <w:unhideWhenUsed/>
    <w:qFormat/>
    <w:rsid w:val="00026784"/>
    <w:pPr>
      <w:spacing w:after="200" w:line="240" w:lineRule="auto"/>
    </w:pPr>
    <w:rPr>
      <w:rFonts w:ascii="Times New Roman" w:eastAsia="Times New Roman" w:hAnsi="Times New Roman" w:cs="Times New Roman"/>
      <w:b/>
      <w:bCs/>
      <w:color w:val="4F81BD"/>
      <w:sz w:val="18"/>
      <w:szCs w:val="18"/>
      <w:lang w:val="es-ES" w:eastAsia="es-ES"/>
    </w:rPr>
  </w:style>
  <w:style w:type="paragraph" w:styleId="Caption">
    <w:name w:val="caption"/>
    <w:basedOn w:val="Normal"/>
    <w:next w:val="Normal"/>
    <w:uiPriority w:val="35"/>
    <w:unhideWhenUsed/>
    <w:qFormat/>
    <w:rsid w:val="005F3C4F"/>
    <w:pPr>
      <w:spacing w:after="200" w:line="240" w:lineRule="auto"/>
    </w:pPr>
    <w:rPr>
      <w:b/>
      <w:bCs/>
      <w:color w:val="5B9BD5" w:themeColor="accent1"/>
      <w:sz w:val="18"/>
      <w:szCs w:val="18"/>
    </w:rPr>
  </w:style>
  <w:style w:type="paragraph" w:styleId="NoSpacing">
    <w:name w:val="No Spacing"/>
    <w:link w:val="NoSpacingChar"/>
    <w:uiPriority w:val="1"/>
    <w:qFormat/>
    <w:rsid w:val="009F0177"/>
    <w:pPr>
      <w:spacing w:after="0" w:line="240" w:lineRule="auto"/>
    </w:pPr>
    <w:rPr>
      <w:rFonts w:ascii="Calibri" w:eastAsia="Calibri" w:hAnsi="Calibri" w:cs="Times New Roman"/>
      <w:lang w:val="es-ES"/>
    </w:rPr>
  </w:style>
  <w:style w:type="paragraph" w:customStyle="1" w:styleId="Cuadrculamedia21">
    <w:name w:val="Cuadrícula media 21"/>
    <w:uiPriority w:val="1"/>
    <w:qFormat/>
    <w:rsid w:val="00BC6D75"/>
    <w:pPr>
      <w:spacing w:after="0" w:line="240" w:lineRule="auto"/>
    </w:pPr>
    <w:rPr>
      <w:rFonts w:ascii="Calibri" w:eastAsia="Times New Roman" w:hAnsi="Calibri" w:cs="Times New Roman"/>
      <w:lang w:val="en-US"/>
    </w:rPr>
  </w:style>
  <w:style w:type="character" w:customStyle="1" w:styleId="cbv">
    <w:name w:val="cbv"/>
    <w:uiPriority w:val="1"/>
    <w:rsid w:val="00BC6D75"/>
    <w:rPr>
      <w:rFonts w:ascii="Arial" w:hAnsi="Arial"/>
      <w:sz w:val="24"/>
    </w:rPr>
  </w:style>
  <w:style w:type="character" w:customStyle="1" w:styleId="Textodelmarcadordeposicin1">
    <w:name w:val="Texto del marcador de posición1"/>
    <w:uiPriority w:val="99"/>
    <w:semiHidden/>
    <w:rsid w:val="00BC6D75"/>
    <w:rPr>
      <w:color w:val="808080"/>
    </w:rPr>
  </w:style>
  <w:style w:type="paragraph" w:customStyle="1" w:styleId="Prrafoordenadovietas2">
    <w:name w:val="Párrafo ordenado viñetas2"/>
    <w:basedOn w:val="Normal"/>
    <w:qFormat/>
    <w:rsid w:val="00BC6D75"/>
    <w:pPr>
      <w:spacing w:after="0" w:line="276" w:lineRule="auto"/>
    </w:pPr>
    <w:rPr>
      <w:rFonts w:ascii="Calibri" w:eastAsia="Calibri" w:hAnsi="Calibri" w:cs="Times New Roman"/>
    </w:rPr>
  </w:style>
  <w:style w:type="character" w:customStyle="1" w:styleId="NoSpacingChar">
    <w:name w:val="No Spacing Char"/>
    <w:basedOn w:val="DefaultParagraphFont"/>
    <w:link w:val="NoSpacing"/>
    <w:uiPriority w:val="1"/>
    <w:rsid w:val="00444A7B"/>
    <w:rPr>
      <w:rFonts w:ascii="Calibri" w:eastAsia="Calibri" w:hAnsi="Calibri" w:cs="Times New Roman"/>
      <w:lang w:val="es-ES"/>
    </w:rPr>
  </w:style>
  <w:style w:type="character" w:customStyle="1" w:styleId="normaltextrun">
    <w:name w:val="normaltextrun"/>
    <w:basedOn w:val="DefaultParagraphFont"/>
    <w:rsid w:val="00CB1457"/>
  </w:style>
  <w:style w:type="paragraph" w:customStyle="1" w:styleId="paragraph">
    <w:name w:val="paragraph"/>
    <w:basedOn w:val="Normal"/>
    <w:rsid w:val="00CB145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DefaultParagraphFont"/>
    <w:rsid w:val="00CB1457"/>
  </w:style>
  <w:style w:type="table" w:styleId="LightList-Accent1">
    <w:name w:val="Light List Accent 1"/>
    <w:basedOn w:val="TableNormal"/>
    <w:uiPriority w:val="61"/>
    <w:rsid w:val="00097D1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MediumShading2-Accent1">
    <w:name w:val="Medium Shading 2 Accent 1"/>
    <w:basedOn w:val="TableNormal"/>
    <w:uiPriority w:val="64"/>
    <w:rsid w:val="00097D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
    <w:name w:val="Body Text"/>
    <w:basedOn w:val="Normal"/>
    <w:link w:val="BodyTextChar"/>
    <w:unhideWhenUsed/>
    <w:rsid w:val="00E352D2"/>
    <w:pPr>
      <w:spacing w:after="120"/>
    </w:pPr>
  </w:style>
  <w:style w:type="character" w:customStyle="1" w:styleId="BodyTextChar">
    <w:name w:val="Body Text Char"/>
    <w:basedOn w:val="DefaultParagraphFont"/>
    <w:link w:val="BodyText"/>
    <w:rsid w:val="00E352D2"/>
  </w:style>
  <w:style w:type="paragraph" w:customStyle="1" w:styleId="EndNoteBibliographyTitle">
    <w:name w:val="EndNote Bibliography Title"/>
    <w:basedOn w:val="Normal"/>
    <w:link w:val="EndNoteBibliographyTitleCar"/>
    <w:rsid w:val="00E352D2"/>
    <w:pPr>
      <w:spacing w:after="0"/>
      <w:jc w:val="center"/>
    </w:pPr>
    <w:rPr>
      <w:rFonts w:ascii="Calibri" w:hAnsi="Calibri"/>
      <w:noProof/>
      <w:lang w:val="en-US"/>
    </w:rPr>
  </w:style>
  <w:style w:type="character" w:customStyle="1" w:styleId="EndNoteBibliographyTitleCar">
    <w:name w:val="EndNote Bibliography Title Car"/>
    <w:basedOn w:val="DefaultParagraphFont"/>
    <w:link w:val="EndNoteBibliographyTitle"/>
    <w:rsid w:val="00E352D2"/>
    <w:rPr>
      <w:rFonts w:ascii="Calibri" w:hAnsi="Calibri"/>
      <w:noProof/>
      <w:lang w:val="en-US"/>
    </w:rPr>
  </w:style>
  <w:style w:type="paragraph" w:customStyle="1" w:styleId="EndNoteBibliography">
    <w:name w:val="EndNote Bibliography"/>
    <w:basedOn w:val="Normal"/>
    <w:link w:val="EndNoteBibliographyCar"/>
    <w:rsid w:val="00E352D2"/>
    <w:pPr>
      <w:spacing w:line="240" w:lineRule="auto"/>
    </w:pPr>
    <w:rPr>
      <w:rFonts w:ascii="Calibri" w:hAnsi="Calibri"/>
      <w:noProof/>
      <w:lang w:val="en-US"/>
    </w:rPr>
  </w:style>
  <w:style w:type="character" w:customStyle="1" w:styleId="EndNoteBibliographyCar">
    <w:name w:val="EndNote Bibliography Car"/>
    <w:basedOn w:val="DefaultParagraphFont"/>
    <w:link w:val="EndNoteBibliography"/>
    <w:rsid w:val="00E352D2"/>
    <w:rPr>
      <w:rFonts w:ascii="Calibri" w:hAnsi="Calibri"/>
      <w:noProof/>
      <w:lang w:val="en-US"/>
    </w:rPr>
  </w:style>
  <w:style w:type="paragraph" w:customStyle="1" w:styleId="ADYNAAutores">
    <w:name w:val="ADYNA_Autores"/>
    <w:basedOn w:val="Normal"/>
    <w:qFormat/>
    <w:rsid w:val="00E352D2"/>
    <w:pPr>
      <w:spacing w:after="0" w:line="240" w:lineRule="auto"/>
      <w:jc w:val="center"/>
    </w:pPr>
    <w:rPr>
      <w:rFonts w:ascii="Times New Roman" w:eastAsia="Times New Roman" w:hAnsi="Times New Roman" w:cs="Times New Roman"/>
      <w:sz w:val="26"/>
      <w:szCs w:val="20"/>
      <w:lang w:val="es-CO" w:eastAsia="es-ES"/>
    </w:rPr>
  </w:style>
  <w:style w:type="paragraph" w:styleId="HTMLPreformatted">
    <w:name w:val="HTML Preformatted"/>
    <w:basedOn w:val="Normal"/>
    <w:link w:val="HTMLPreformattedChar"/>
    <w:uiPriority w:val="99"/>
    <w:unhideWhenUsed/>
    <w:rsid w:val="00E35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es-MX"/>
    </w:rPr>
  </w:style>
  <w:style w:type="character" w:customStyle="1" w:styleId="HTMLPreformattedChar">
    <w:name w:val="HTML Preformatted Char"/>
    <w:basedOn w:val="DefaultParagraphFont"/>
    <w:link w:val="HTMLPreformatted"/>
    <w:uiPriority w:val="99"/>
    <w:rsid w:val="00E352D2"/>
    <w:rPr>
      <w:rFonts w:ascii="Courier New" w:eastAsia="Times New Roman" w:hAnsi="Courier New" w:cs="Courier New"/>
      <w:sz w:val="20"/>
      <w:szCs w:val="20"/>
      <w:lang w:eastAsia="es-MX"/>
    </w:rPr>
  </w:style>
  <w:style w:type="paragraph" w:styleId="CommentSubject">
    <w:name w:val="annotation subject"/>
    <w:basedOn w:val="CommentText"/>
    <w:next w:val="CommentText"/>
    <w:link w:val="CommentSubjectChar"/>
    <w:uiPriority w:val="99"/>
    <w:semiHidden/>
    <w:unhideWhenUsed/>
    <w:rsid w:val="00E352D2"/>
    <w:pPr>
      <w:spacing w:after="160"/>
    </w:pPr>
    <w:rPr>
      <w:rFonts w:asciiTheme="minorHAnsi" w:eastAsiaTheme="minorHAnsi" w:hAnsiTheme="minorHAnsi" w:cstheme="minorBidi"/>
      <w:b/>
      <w:bCs/>
      <w:lang w:val="es-MX" w:eastAsia="en-US"/>
    </w:rPr>
  </w:style>
  <w:style w:type="character" w:customStyle="1" w:styleId="CommentSubjectChar">
    <w:name w:val="Comment Subject Char"/>
    <w:basedOn w:val="CommentTextChar"/>
    <w:link w:val="CommentSubject"/>
    <w:uiPriority w:val="99"/>
    <w:semiHidden/>
    <w:rsid w:val="00E352D2"/>
    <w:rPr>
      <w:rFonts w:ascii="Times New Roman" w:eastAsia="Times New Roman" w:hAnsi="Times New Roman" w:cs="Times New Roman"/>
      <w:b/>
      <w:bCs/>
      <w:sz w:val="20"/>
      <w:szCs w:val="20"/>
      <w:lang w:val="ru-RU" w:eastAsia="ru-RU"/>
    </w:rPr>
  </w:style>
  <w:style w:type="character" w:customStyle="1" w:styleId="spellingerror">
    <w:name w:val="spellingerror"/>
    <w:basedOn w:val="DefaultParagraphFont"/>
    <w:rsid w:val="00AD2BAB"/>
  </w:style>
  <w:style w:type="paragraph" w:customStyle="1" w:styleId="EndNoteCategoryHeading">
    <w:name w:val="EndNote Category Heading"/>
    <w:basedOn w:val="Normal"/>
    <w:link w:val="EndNoteCategoryHeadingCar"/>
    <w:rsid w:val="00C26C5A"/>
    <w:pPr>
      <w:spacing w:before="120" w:after="120" w:line="276" w:lineRule="auto"/>
    </w:pPr>
    <w:rPr>
      <w:rFonts w:ascii="Calibri" w:hAnsi="Calibri"/>
      <w:b/>
      <w:noProof/>
      <w:lang w:val="en-US"/>
    </w:rPr>
  </w:style>
  <w:style w:type="character" w:customStyle="1" w:styleId="EndNoteCategoryHeadingCar">
    <w:name w:val="EndNote Category Heading Car"/>
    <w:basedOn w:val="EndNoteBibliographyCar"/>
    <w:link w:val="EndNoteCategoryHeading"/>
    <w:rsid w:val="00C26C5A"/>
    <w:rPr>
      <w:rFonts w:ascii="Calibri" w:hAnsi="Calibri"/>
      <w:b/>
      <w:noProof/>
      <w:lang w:val="en-US"/>
    </w:rPr>
  </w:style>
  <w:style w:type="table" w:styleId="LightGrid">
    <w:name w:val="Light Grid"/>
    <w:basedOn w:val="TableNormal"/>
    <w:uiPriority w:val="62"/>
    <w:rsid w:val="005B6712"/>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odyText2">
    <w:name w:val="Body Text 2"/>
    <w:basedOn w:val="Normal"/>
    <w:link w:val="BodyText2Char"/>
    <w:uiPriority w:val="99"/>
    <w:unhideWhenUsed/>
    <w:rsid w:val="009402D0"/>
    <w:pPr>
      <w:spacing w:after="120" w:line="480" w:lineRule="auto"/>
    </w:pPr>
  </w:style>
  <w:style w:type="character" w:customStyle="1" w:styleId="BodyText2Char">
    <w:name w:val="Body Text 2 Char"/>
    <w:basedOn w:val="DefaultParagraphFont"/>
    <w:link w:val="BodyText2"/>
    <w:uiPriority w:val="99"/>
    <w:rsid w:val="009402D0"/>
  </w:style>
  <w:style w:type="paragraph" w:customStyle="1" w:styleId="FigureCaption">
    <w:name w:val="Figure Caption"/>
    <w:basedOn w:val="Normal"/>
    <w:rsid w:val="00F463D2"/>
    <w:pPr>
      <w:spacing w:after="0" w:line="240" w:lineRule="auto"/>
      <w:jc w:val="both"/>
    </w:pPr>
    <w:rPr>
      <w:rFonts w:ascii="Times New Roman" w:eastAsia="Times New Roman" w:hAnsi="Times New Roman" w:cs="Times New Roman"/>
      <w:noProof/>
      <w:sz w:val="16"/>
      <w:szCs w:val="20"/>
      <w:lang w:val="es-ES"/>
    </w:rPr>
  </w:style>
  <w:style w:type="paragraph" w:customStyle="1" w:styleId="Sinespaciado1">
    <w:name w:val="Sin espaciado1"/>
    <w:uiPriority w:val="1"/>
    <w:qFormat/>
    <w:rsid w:val="00997E8E"/>
    <w:pPr>
      <w:spacing w:after="0" w:line="240" w:lineRule="auto"/>
    </w:pPr>
    <w:rPr>
      <w:rFonts w:ascii="Calibri" w:eastAsia="Calibri" w:hAnsi="Calibri" w:cs="Times New Roman"/>
      <w:lang w:val="es-ES"/>
    </w:rPr>
  </w:style>
  <w:style w:type="table" w:customStyle="1" w:styleId="Tablanormal22">
    <w:name w:val="Tabla normal 22"/>
    <w:basedOn w:val="TableNormal"/>
    <w:uiPriority w:val="42"/>
    <w:rsid w:val="00467F5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cuadrcula4-nfasis61">
    <w:name w:val="Tabla de cuadrícula 4 - Énfasis 61"/>
    <w:basedOn w:val="TableNormal"/>
    <w:uiPriority w:val="49"/>
    <w:rsid w:val="00467F5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5">
    <w:name w:val="Plain Table 5"/>
    <w:basedOn w:val="TableNormal"/>
    <w:uiPriority w:val="45"/>
    <w:rsid w:val="00F721CD"/>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5yl5">
    <w:name w:val="_5yl5"/>
    <w:basedOn w:val="DefaultParagraphFont"/>
    <w:rsid w:val="00EB4AD1"/>
  </w:style>
  <w:style w:type="paragraph" w:customStyle="1" w:styleId="ng-scope">
    <w:name w:val="ng-scope"/>
    <w:basedOn w:val="Normal"/>
    <w:rsid w:val="00EB4AD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dnoteText">
    <w:name w:val="endnote text"/>
    <w:basedOn w:val="Normal"/>
    <w:link w:val="EndnoteTextChar"/>
    <w:uiPriority w:val="99"/>
    <w:semiHidden/>
    <w:unhideWhenUsed/>
    <w:rsid w:val="00896A20"/>
    <w:pPr>
      <w:spacing w:after="0" w:line="240" w:lineRule="auto"/>
    </w:pPr>
    <w:rPr>
      <w:rFonts w:ascii="Times New Roman" w:eastAsia="Times New Roman" w:hAnsi="Times New Roman" w:cs="Times New Roman"/>
      <w:szCs w:val="20"/>
      <w:lang w:val="en-US"/>
    </w:rPr>
  </w:style>
  <w:style w:type="character" w:customStyle="1" w:styleId="EndnoteTextChar">
    <w:name w:val="Endnote Text Char"/>
    <w:basedOn w:val="DefaultParagraphFont"/>
    <w:link w:val="EndnoteText"/>
    <w:uiPriority w:val="99"/>
    <w:semiHidden/>
    <w:rsid w:val="00896A20"/>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896A20"/>
    <w:rPr>
      <w:vertAlign w:val="superscript"/>
    </w:rPr>
  </w:style>
  <w:style w:type="table" w:styleId="GridTable2-Accent2">
    <w:name w:val="Grid Table 2 Accent 2"/>
    <w:basedOn w:val="TableNormal"/>
    <w:uiPriority w:val="47"/>
    <w:rsid w:val="00896A20"/>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1">
    <w:name w:val="Plain Table 1"/>
    <w:basedOn w:val="TableNormal"/>
    <w:uiPriority w:val="41"/>
    <w:rsid w:val="00F417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uerpoTrabajo">
    <w:name w:val="Cuerpo Trabajo"/>
    <w:basedOn w:val="Normal"/>
    <w:qFormat/>
    <w:rsid w:val="00C60329"/>
    <w:pPr>
      <w:spacing w:after="200" w:line="360" w:lineRule="auto"/>
      <w:jc w:val="both"/>
    </w:pPr>
    <w:rPr>
      <w:rFonts w:cs="Arial"/>
      <w:sz w:val="24"/>
      <w:szCs w:val="24"/>
    </w:rPr>
  </w:style>
  <w:style w:type="paragraph" w:customStyle="1" w:styleId="yiv0387268890gmail-paragraph">
    <w:name w:val="yiv0387268890gmail-paragraph"/>
    <w:basedOn w:val="Normal"/>
    <w:rsid w:val="00C603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yiv0387268890gmail-normaltextrun">
    <w:name w:val="yiv0387268890gmail-normaltextrun"/>
    <w:basedOn w:val="DefaultParagraphFont"/>
    <w:rsid w:val="00C60329"/>
  </w:style>
  <w:style w:type="character" w:customStyle="1" w:styleId="yiv0387268890gmail-eop">
    <w:name w:val="yiv0387268890gmail-eop"/>
    <w:basedOn w:val="DefaultParagraphFont"/>
    <w:rsid w:val="00C60329"/>
  </w:style>
  <w:style w:type="table" w:styleId="GridTable1Light">
    <w:name w:val="Grid Table 1 Light"/>
    <w:basedOn w:val="TableNormal"/>
    <w:uiPriority w:val="46"/>
    <w:rsid w:val="00F657F3"/>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1B7139"/>
    <w:rPr>
      <w:color w:val="808080"/>
      <w:shd w:val="clear" w:color="auto" w:fill="E6E6E6"/>
    </w:rPr>
  </w:style>
  <w:style w:type="paragraph" w:customStyle="1" w:styleId="Style1">
    <w:name w:val="Style1"/>
    <w:basedOn w:val="Normal"/>
    <w:link w:val="Style1Char"/>
    <w:qFormat/>
    <w:rsid w:val="00BF42E6"/>
    <w:pPr>
      <w:keepNext/>
      <w:spacing w:before="240" w:after="80" w:line="240" w:lineRule="auto"/>
      <w:jc w:val="center"/>
      <w:outlineLvl w:val="0"/>
    </w:pPr>
    <w:rPr>
      <w:rFonts w:ascii="Times New Roman" w:eastAsia="Times New Roman" w:hAnsi="Times New Roman" w:cs="Times New Roman"/>
      <w:smallCaps/>
      <w:kern w:val="28"/>
      <w:szCs w:val="20"/>
    </w:rPr>
  </w:style>
  <w:style w:type="character" w:customStyle="1" w:styleId="Style1Char">
    <w:name w:val="Style1 Char"/>
    <w:link w:val="Style1"/>
    <w:rsid w:val="00BF42E6"/>
    <w:rPr>
      <w:rFonts w:ascii="Times New Roman" w:eastAsia="Times New Roman" w:hAnsi="Times New Roman" w:cs="Times New Roman"/>
      <w:smallCaps/>
      <w:kern w:val="28"/>
      <w:sz w:val="20"/>
      <w:szCs w:val="20"/>
    </w:rPr>
  </w:style>
  <w:style w:type="character" w:customStyle="1" w:styleId="ListParagraphChar">
    <w:name w:val="List Paragraph Char"/>
    <w:aliases w:val="Capítulo Char,Subtitulo1 Char"/>
    <w:link w:val="ListParagraph"/>
    <w:uiPriority w:val="34"/>
    <w:locked/>
    <w:rsid w:val="008E76F8"/>
    <w:rPr>
      <w:rFonts w:ascii="Arial" w:hAnsi="Arial"/>
      <w:sz w:val="20"/>
    </w:rPr>
  </w:style>
  <w:style w:type="paragraph" w:customStyle="1" w:styleId="Prrafodelista1">
    <w:name w:val="Párrafo de lista1"/>
    <w:basedOn w:val="Normal"/>
    <w:uiPriority w:val="34"/>
    <w:qFormat/>
    <w:rsid w:val="00FF3F8F"/>
    <w:pPr>
      <w:spacing w:after="200" w:line="276" w:lineRule="auto"/>
      <w:ind w:left="720"/>
      <w:contextualSpacing/>
    </w:pPr>
    <w:rPr>
      <w:rFonts w:ascii="Times New Roman" w:hAnsi="Times New Roman" w:cs="Times New Roman"/>
      <w:sz w:val="22"/>
      <w:lang w:eastAsia="es-ES_tradnl"/>
    </w:rPr>
  </w:style>
  <w:style w:type="table" w:customStyle="1" w:styleId="Tabladecuadrcula4-nfasis11">
    <w:name w:val="Tabla de cuadrícula 4 - Énfasis 11"/>
    <w:basedOn w:val="TableNormal"/>
    <w:uiPriority w:val="49"/>
    <w:rsid w:val="00FF3F8F"/>
    <w:pPr>
      <w:spacing w:after="0" w:line="240" w:lineRule="auto"/>
    </w:pPr>
    <w:rPr>
      <w:sz w:val="20"/>
      <w:szCs w:val="20"/>
      <w:lang w:eastAsia="es-MX"/>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
    <w:name w:val="Heading 4 Char"/>
    <w:basedOn w:val="DefaultParagraphFont"/>
    <w:link w:val="Heading4"/>
    <w:uiPriority w:val="9"/>
    <w:semiHidden/>
    <w:rsid w:val="002E3860"/>
    <w:rPr>
      <w:rFonts w:asciiTheme="majorHAnsi" w:eastAsiaTheme="majorEastAsia" w:hAnsiTheme="majorHAnsi" w:cstheme="majorBidi"/>
      <w:i/>
      <w:iCs/>
      <w:color w:val="2E74B5" w:themeColor="accent1" w:themeShade="BF"/>
      <w:sz w:val="20"/>
    </w:rPr>
  </w:style>
  <w:style w:type="character" w:customStyle="1" w:styleId="a">
    <w:name w:val="a"/>
    <w:basedOn w:val="DefaultParagraphFont"/>
    <w:rsid w:val="00B445B9"/>
  </w:style>
  <w:style w:type="character" w:customStyle="1" w:styleId="l6">
    <w:name w:val="l6"/>
    <w:basedOn w:val="DefaultParagraphFont"/>
    <w:rsid w:val="00B445B9"/>
  </w:style>
  <w:style w:type="table" w:customStyle="1" w:styleId="Tablaconcuadrcula1">
    <w:name w:val="Tabla con cuadrícula1"/>
    <w:basedOn w:val="TableNormal"/>
    <w:next w:val="TableGrid"/>
    <w:uiPriority w:val="59"/>
    <w:rsid w:val="00BD55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YNATitulo3">
    <w:name w:val="ADYNA_Titulo 3"/>
    <w:basedOn w:val="Heading2"/>
    <w:rsid w:val="001717F2"/>
    <w:pPr>
      <w:keepLines w:val="0"/>
      <w:spacing w:before="0" w:line="240" w:lineRule="auto"/>
      <w:ind w:left="576" w:hanging="576"/>
      <w:jc w:val="both"/>
    </w:pPr>
    <w:rPr>
      <w:rFonts w:ascii="Times New Roman" w:eastAsia="Times New Roman" w:hAnsi="Times New Roman" w:cs="Times New Roman"/>
      <w:b w:val="0"/>
      <w:color w:val="auto"/>
      <w:sz w:val="18"/>
      <w:szCs w:val="24"/>
      <w:lang w:val="en-US" w:eastAsia="es-ES"/>
    </w:rPr>
  </w:style>
  <w:style w:type="paragraph" w:customStyle="1" w:styleId="Tit4">
    <w:name w:val="Tit4"/>
    <w:basedOn w:val="Heading3"/>
    <w:link w:val="Tit4Car"/>
    <w:qFormat/>
    <w:rsid w:val="00ED2301"/>
    <w:pPr>
      <w:keepLines w:val="0"/>
      <w:spacing w:before="0" w:line="240" w:lineRule="auto"/>
      <w:ind w:left="1080"/>
      <w:jc w:val="both"/>
    </w:pPr>
    <w:rPr>
      <w:rFonts w:ascii="Arial" w:eastAsia="Times New Roman" w:hAnsi="Arial" w:cs="Times New Roman"/>
      <w:b w:val="0"/>
      <w:noProof/>
      <w:color w:val="1F4D78" w:themeColor="accent1" w:themeShade="7F"/>
      <w:sz w:val="24"/>
      <w:szCs w:val="24"/>
      <w:lang w:val="es-ES" w:eastAsia="es-ES"/>
    </w:rPr>
  </w:style>
  <w:style w:type="character" w:customStyle="1" w:styleId="Tit4Car">
    <w:name w:val="Tit4 Car"/>
    <w:basedOn w:val="Heading3Char"/>
    <w:link w:val="Tit4"/>
    <w:rsid w:val="00ED2301"/>
    <w:rPr>
      <w:rFonts w:ascii="Arial" w:eastAsia="Times New Roman" w:hAnsi="Arial" w:cs="Times New Roman"/>
      <w:b w:val="0"/>
      <w:bCs/>
      <w:noProof/>
      <w:color w:val="1F4D78" w:themeColor="accent1" w:themeShade="7F"/>
      <w:sz w:val="24"/>
      <w:szCs w:val="24"/>
      <w:lang w:val="es-ES" w:eastAsia="es-ES"/>
    </w:rPr>
  </w:style>
  <w:style w:type="table" w:customStyle="1" w:styleId="Tablanormal41">
    <w:name w:val="Tabla normal 41"/>
    <w:basedOn w:val="TableNormal"/>
    <w:uiPriority w:val="44"/>
    <w:rsid w:val="00ED2301"/>
    <w:pPr>
      <w:spacing w:after="0" w:line="240" w:lineRule="auto"/>
    </w:pPr>
    <w:rPr>
      <w:rFonts w:ascii="Calibri" w:eastAsia="Calibri" w:hAnsi="Calibri" w:cs="Times New Roman"/>
      <w:sz w:val="20"/>
      <w:szCs w:val="20"/>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CarCar">
    <w:name w:val="Text Car Car"/>
    <w:basedOn w:val="Normal"/>
    <w:link w:val="TextCarCarCar"/>
    <w:rsid w:val="002962D4"/>
    <w:pPr>
      <w:widowControl w:val="0"/>
      <w:autoSpaceDE w:val="0"/>
      <w:autoSpaceDN w:val="0"/>
      <w:spacing w:after="0" w:line="252" w:lineRule="auto"/>
      <w:ind w:firstLine="202"/>
      <w:jc w:val="both"/>
    </w:pPr>
    <w:rPr>
      <w:rFonts w:ascii="Times New Roman" w:eastAsia="Times New Roman" w:hAnsi="Times New Roman" w:cs="Times New Roman"/>
      <w:szCs w:val="20"/>
      <w:lang w:val="en-US"/>
    </w:rPr>
  </w:style>
  <w:style w:type="character" w:customStyle="1" w:styleId="TextCarCarCar">
    <w:name w:val="Text Car Car Car"/>
    <w:link w:val="TextCarCar"/>
    <w:rsid w:val="002962D4"/>
    <w:rPr>
      <w:rFonts w:ascii="Times New Roman" w:eastAsia="Times New Roman" w:hAnsi="Times New Roman" w:cs="Times New Roman"/>
      <w:sz w:val="20"/>
      <w:szCs w:val="20"/>
      <w:lang w:val="en-US"/>
    </w:rPr>
  </w:style>
  <w:style w:type="character" w:customStyle="1" w:styleId="Heading5Char">
    <w:name w:val="Heading 5 Char"/>
    <w:basedOn w:val="DefaultParagraphFont"/>
    <w:link w:val="Heading5"/>
    <w:uiPriority w:val="9"/>
    <w:semiHidden/>
    <w:rsid w:val="00F50D39"/>
    <w:rPr>
      <w:rFonts w:asciiTheme="majorHAnsi" w:eastAsiaTheme="majorEastAsia" w:hAnsiTheme="majorHAnsi" w:cstheme="majorBidi"/>
      <w:color w:val="2E74B5" w:themeColor="accent1" w:themeShade="BF"/>
      <w:sz w:val="20"/>
    </w:rPr>
  </w:style>
  <w:style w:type="paragraph" w:styleId="BodyTextIndent2">
    <w:name w:val="Body Text Indent 2"/>
    <w:basedOn w:val="Normal"/>
    <w:link w:val="BodyTextIndent2Char"/>
    <w:uiPriority w:val="99"/>
    <w:semiHidden/>
    <w:unhideWhenUsed/>
    <w:rsid w:val="00F50D39"/>
    <w:pPr>
      <w:spacing w:after="120" w:line="480" w:lineRule="auto"/>
      <w:ind w:left="283"/>
    </w:pPr>
  </w:style>
  <w:style w:type="character" w:customStyle="1" w:styleId="BodyTextIndent2Char">
    <w:name w:val="Body Text Indent 2 Char"/>
    <w:basedOn w:val="DefaultParagraphFont"/>
    <w:link w:val="BodyTextIndent2"/>
    <w:uiPriority w:val="99"/>
    <w:semiHidden/>
    <w:rsid w:val="00F50D39"/>
    <w:rPr>
      <w:rFonts w:ascii="Arial" w:hAnsi="Arial"/>
      <w:sz w:val="20"/>
    </w:rPr>
  </w:style>
  <w:style w:type="paragraph" w:styleId="BodyText3">
    <w:name w:val="Body Text 3"/>
    <w:basedOn w:val="Normal"/>
    <w:link w:val="BodyText3Char"/>
    <w:uiPriority w:val="99"/>
    <w:semiHidden/>
    <w:unhideWhenUsed/>
    <w:rsid w:val="00F50D39"/>
    <w:pPr>
      <w:spacing w:after="120"/>
    </w:pPr>
    <w:rPr>
      <w:sz w:val="16"/>
      <w:szCs w:val="16"/>
    </w:rPr>
  </w:style>
  <w:style w:type="character" w:customStyle="1" w:styleId="BodyText3Char">
    <w:name w:val="Body Text 3 Char"/>
    <w:basedOn w:val="DefaultParagraphFont"/>
    <w:link w:val="BodyText3"/>
    <w:uiPriority w:val="99"/>
    <w:semiHidden/>
    <w:rsid w:val="00F50D39"/>
    <w:rPr>
      <w:rFonts w:ascii="Arial" w:hAnsi="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52533">
      <w:bodyDiv w:val="1"/>
      <w:marLeft w:val="0"/>
      <w:marRight w:val="0"/>
      <w:marTop w:val="0"/>
      <w:marBottom w:val="0"/>
      <w:divBdr>
        <w:top w:val="none" w:sz="0" w:space="0" w:color="auto"/>
        <w:left w:val="none" w:sz="0" w:space="0" w:color="auto"/>
        <w:bottom w:val="none" w:sz="0" w:space="0" w:color="auto"/>
        <w:right w:val="none" w:sz="0" w:space="0" w:color="auto"/>
      </w:divBdr>
    </w:div>
    <w:div w:id="1179390403">
      <w:bodyDiv w:val="1"/>
      <w:marLeft w:val="0"/>
      <w:marRight w:val="0"/>
      <w:marTop w:val="0"/>
      <w:marBottom w:val="0"/>
      <w:divBdr>
        <w:top w:val="none" w:sz="0" w:space="0" w:color="auto"/>
        <w:left w:val="none" w:sz="0" w:space="0" w:color="auto"/>
        <w:bottom w:val="none" w:sz="0" w:space="0" w:color="auto"/>
        <w:right w:val="none" w:sz="0" w:space="0" w:color="auto"/>
      </w:divBdr>
    </w:div>
    <w:div w:id="131055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microsoft.com/office/2007/relationships/hdphoto" Target="media/hdphoto2.wdp"/><Relationship Id="rId26" Type="http://schemas.microsoft.com/office/2007/relationships/hdphoto" Target="media/hdphoto5.wdp"/><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8.png"/><Relationship Id="rId32" Type="http://schemas.microsoft.com/office/2007/relationships/hdphoto" Target="media/hdphoto8.wdp"/><Relationship Id="rId37" Type="http://schemas.openxmlformats.org/officeDocument/2006/relationships/image" Target="media/image17.png"/><Relationship Id="rId40" Type="http://schemas.openxmlformats.org/officeDocument/2006/relationships/hyperlink" Target="http://www.AdvancerTechnologies.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microsoft.com/office/2007/relationships/hdphoto" Target="media/hdphoto4.wdp"/><Relationship Id="rId28" Type="http://schemas.microsoft.com/office/2007/relationships/hdphoto" Target="media/hdphoto6.wdp"/><Relationship Id="rId36"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image" Target="media/image10.png"/><Relationship Id="rId30" Type="http://schemas.microsoft.com/office/2007/relationships/hdphoto" Target="media/hdphoto7.wdp"/><Relationship Id="rId35" Type="http://schemas.openxmlformats.org/officeDocument/2006/relationships/image" Target="media/image15.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3.png"/><Relationship Id="rId38" Type="http://schemas.microsoft.com/office/2007/relationships/hdphoto" Target="media/hdphoto9.wdp"/><Relationship Id="rId20" Type="http://schemas.microsoft.com/office/2007/relationships/hdphoto" Target="media/hdphoto3.wdp"/><Relationship Id="rId41" Type="http://schemas.openxmlformats.org/officeDocument/2006/relationships/hyperlink" Target="https://doi.org/10.17488/RMIB.36.2.1pdf"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ultidisciplinasdelaingenieria.com/" TargetMode="External"/><Relationship Id="rId2" Type="http://schemas.openxmlformats.org/officeDocument/2006/relationships/hyperlink" Target="http://www.multidisciplinasdelaingenieria.com/" TargetMode="External"/><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hyperlink" Target="http://www.multidisciplinasdelaingenieria.com" TargetMode="External"/><Relationship Id="rId1" Type="http://schemas.openxmlformats.org/officeDocument/2006/relationships/hyperlink" Target="http://www.multidisciplinasdelaingenieria.com"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66368C-9834-45B2-9175-A7F9CFC086AA}" type="doc">
      <dgm:prSet loTypeId="urn:microsoft.com/office/officeart/2005/8/layout/process1" loCatId="process" qsTypeId="urn:microsoft.com/office/officeart/2005/8/quickstyle/simple1" qsCatId="simple" csTypeId="urn:microsoft.com/office/officeart/2005/8/colors/accent0_1" csCatId="mainScheme" phldr="1"/>
      <dgm:spPr/>
    </dgm:pt>
    <dgm:pt modelId="{700C4BCC-4AAB-4AD6-A665-F9B7993931AD}">
      <dgm:prSet phldrT="[Texto]"/>
      <dgm:spPr/>
      <dgm:t>
        <a:bodyPr/>
        <a:lstStyle/>
        <a:p>
          <a:r>
            <a:rPr lang="es-419"/>
            <a:t>Identificar la necesidad de la medición de la contracción de los músculos</a:t>
          </a:r>
        </a:p>
      </dgm:t>
    </dgm:pt>
    <dgm:pt modelId="{7465627D-F7CE-4D7B-96EB-11DC41054A6A}" type="parTrans" cxnId="{589AC1EE-4978-4376-8067-93358C6447C4}">
      <dgm:prSet/>
      <dgm:spPr/>
      <dgm:t>
        <a:bodyPr/>
        <a:lstStyle/>
        <a:p>
          <a:endParaRPr lang="es-419"/>
        </a:p>
      </dgm:t>
    </dgm:pt>
    <dgm:pt modelId="{36CB061B-C863-4518-98C8-DA4C0C1CF29B}" type="sibTrans" cxnId="{589AC1EE-4978-4376-8067-93358C6447C4}">
      <dgm:prSet/>
      <dgm:spPr/>
      <dgm:t>
        <a:bodyPr/>
        <a:lstStyle/>
        <a:p>
          <a:endParaRPr lang="es-419"/>
        </a:p>
      </dgm:t>
    </dgm:pt>
    <dgm:pt modelId="{86A0F344-2388-4420-99C5-C35F8268D4E5}">
      <dgm:prSet phldrT="[Texto]"/>
      <dgm:spPr/>
      <dgm:t>
        <a:bodyPr/>
        <a:lstStyle/>
        <a:p>
          <a:r>
            <a:rPr lang="es-419"/>
            <a:t>Identificar el estado del arte de la tarjeta de acondicionamiento de señales</a:t>
          </a:r>
        </a:p>
      </dgm:t>
    </dgm:pt>
    <dgm:pt modelId="{053C737B-A4D6-455E-B990-FA00402E693A}" type="parTrans" cxnId="{0136F881-2D9B-4DE1-B14C-05EC38BEF63E}">
      <dgm:prSet/>
      <dgm:spPr/>
      <dgm:t>
        <a:bodyPr/>
        <a:lstStyle/>
        <a:p>
          <a:endParaRPr lang="es-419"/>
        </a:p>
      </dgm:t>
    </dgm:pt>
    <dgm:pt modelId="{BB564858-3100-4D4E-92C1-4C7C527A3678}" type="sibTrans" cxnId="{0136F881-2D9B-4DE1-B14C-05EC38BEF63E}">
      <dgm:prSet/>
      <dgm:spPr/>
      <dgm:t>
        <a:bodyPr/>
        <a:lstStyle/>
        <a:p>
          <a:endParaRPr lang="es-419"/>
        </a:p>
      </dgm:t>
    </dgm:pt>
    <dgm:pt modelId="{59872E89-C7E2-4F4B-AD64-CCCCF1886AD8}">
      <dgm:prSet phldrT="[Texto]"/>
      <dgm:spPr/>
      <dgm:t>
        <a:bodyPr/>
        <a:lstStyle/>
        <a:p>
          <a:r>
            <a:rPr lang="es-419"/>
            <a:t>Prototipar el acondicionamiento de señales de la tarjeta.</a:t>
          </a:r>
        </a:p>
      </dgm:t>
    </dgm:pt>
    <dgm:pt modelId="{43357BB4-4537-4478-99F8-309B6F0D34F6}" type="parTrans" cxnId="{478EA465-12EE-409B-8A20-7642DE4DF7AA}">
      <dgm:prSet/>
      <dgm:spPr/>
      <dgm:t>
        <a:bodyPr/>
        <a:lstStyle/>
        <a:p>
          <a:endParaRPr lang="es-419"/>
        </a:p>
      </dgm:t>
    </dgm:pt>
    <dgm:pt modelId="{9F06D8F5-959A-4ADA-A2E7-2B9E0D0101EC}" type="sibTrans" cxnId="{478EA465-12EE-409B-8A20-7642DE4DF7AA}">
      <dgm:prSet/>
      <dgm:spPr/>
      <dgm:t>
        <a:bodyPr/>
        <a:lstStyle/>
        <a:p>
          <a:endParaRPr lang="es-419"/>
        </a:p>
      </dgm:t>
    </dgm:pt>
    <dgm:pt modelId="{43819A5F-A6CA-459B-8245-22A54216BE9A}">
      <dgm:prSet phldrT="[Texto]"/>
      <dgm:spPr/>
      <dgm:t>
        <a:bodyPr/>
        <a:lstStyle/>
        <a:p>
          <a:r>
            <a:rPr lang="es-419"/>
            <a:t>Realizar puebas de funcionamiento de la tarjeta de acondicionamiento de señales.</a:t>
          </a:r>
        </a:p>
      </dgm:t>
    </dgm:pt>
    <dgm:pt modelId="{033229E0-F99C-4E6B-AEAF-1E356F8C364A}" type="parTrans" cxnId="{53E734A8-CDEB-4D24-B6B9-2FEB3622AF75}">
      <dgm:prSet/>
      <dgm:spPr/>
      <dgm:t>
        <a:bodyPr/>
        <a:lstStyle/>
        <a:p>
          <a:endParaRPr lang="es-419"/>
        </a:p>
      </dgm:t>
    </dgm:pt>
    <dgm:pt modelId="{2F920206-B3EA-4EAB-885D-2481F78EECC7}" type="sibTrans" cxnId="{53E734A8-CDEB-4D24-B6B9-2FEB3622AF75}">
      <dgm:prSet/>
      <dgm:spPr/>
      <dgm:t>
        <a:bodyPr/>
        <a:lstStyle/>
        <a:p>
          <a:endParaRPr lang="es-419"/>
        </a:p>
      </dgm:t>
    </dgm:pt>
    <dgm:pt modelId="{E9CBB5D0-6DA1-47AB-BD9B-53170999A7DD}">
      <dgm:prSet phldrT="[Texto]"/>
      <dgm:spPr/>
      <dgm:t>
        <a:bodyPr/>
        <a:lstStyle/>
        <a:p>
          <a:r>
            <a:rPr lang="es-419"/>
            <a:t>Realizar análisis de de la tarjeta de  acondicionamiento de señales.</a:t>
          </a:r>
        </a:p>
      </dgm:t>
    </dgm:pt>
    <dgm:pt modelId="{2B5AE13A-167E-4D52-BF15-1AED4072493C}" type="parTrans" cxnId="{2888F32A-A500-47CB-AD7F-E8D14559F7A9}">
      <dgm:prSet/>
      <dgm:spPr/>
      <dgm:t>
        <a:bodyPr/>
        <a:lstStyle/>
        <a:p>
          <a:endParaRPr lang="es-419"/>
        </a:p>
      </dgm:t>
    </dgm:pt>
    <dgm:pt modelId="{F8E6B524-4556-4073-ACC4-DB4B51AC3D5B}" type="sibTrans" cxnId="{2888F32A-A500-47CB-AD7F-E8D14559F7A9}">
      <dgm:prSet/>
      <dgm:spPr/>
      <dgm:t>
        <a:bodyPr/>
        <a:lstStyle/>
        <a:p>
          <a:endParaRPr lang="es-419"/>
        </a:p>
      </dgm:t>
    </dgm:pt>
    <dgm:pt modelId="{F959DC59-6D0B-406C-B423-A6160B616C51}" type="pres">
      <dgm:prSet presAssocID="{EC66368C-9834-45B2-9175-A7F9CFC086AA}" presName="Name0" presStyleCnt="0">
        <dgm:presLayoutVars>
          <dgm:dir/>
          <dgm:resizeHandles val="exact"/>
        </dgm:presLayoutVars>
      </dgm:prSet>
      <dgm:spPr/>
    </dgm:pt>
    <dgm:pt modelId="{4801F3D9-23B2-46CC-9544-E7CFCC90A29C}" type="pres">
      <dgm:prSet presAssocID="{700C4BCC-4AAB-4AD6-A665-F9B7993931AD}" presName="node" presStyleLbl="node1" presStyleIdx="0" presStyleCnt="5">
        <dgm:presLayoutVars>
          <dgm:bulletEnabled val="1"/>
        </dgm:presLayoutVars>
      </dgm:prSet>
      <dgm:spPr/>
    </dgm:pt>
    <dgm:pt modelId="{F5DCFCCB-007D-476B-8F42-06167CBA1E0F}" type="pres">
      <dgm:prSet presAssocID="{36CB061B-C863-4518-98C8-DA4C0C1CF29B}" presName="sibTrans" presStyleLbl="sibTrans2D1" presStyleIdx="0" presStyleCnt="4"/>
      <dgm:spPr/>
    </dgm:pt>
    <dgm:pt modelId="{DFBBB049-8954-41E6-B52F-CBFC8D9332E1}" type="pres">
      <dgm:prSet presAssocID="{36CB061B-C863-4518-98C8-DA4C0C1CF29B}" presName="connectorText" presStyleLbl="sibTrans2D1" presStyleIdx="0" presStyleCnt="4"/>
      <dgm:spPr/>
    </dgm:pt>
    <dgm:pt modelId="{808CCA59-AFF5-42C0-AAA2-8413C9BC24BB}" type="pres">
      <dgm:prSet presAssocID="{86A0F344-2388-4420-99C5-C35F8268D4E5}" presName="node" presStyleLbl="node1" presStyleIdx="1" presStyleCnt="5">
        <dgm:presLayoutVars>
          <dgm:bulletEnabled val="1"/>
        </dgm:presLayoutVars>
      </dgm:prSet>
      <dgm:spPr/>
    </dgm:pt>
    <dgm:pt modelId="{DE9D75F0-5135-46E3-BC60-2A137956B423}" type="pres">
      <dgm:prSet presAssocID="{BB564858-3100-4D4E-92C1-4C7C527A3678}" presName="sibTrans" presStyleLbl="sibTrans2D1" presStyleIdx="1" presStyleCnt="4"/>
      <dgm:spPr/>
    </dgm:pt>
    <dgm:pt modelId="{FFB9165F-CAFC-4D29-A8EC-715BDA7EA007}" type="pres">
      <dgm:prSet presAssocID="{BB564858-3100-4D4E-92C1-4C7C527A3678}" presName="connectorText" presStyleLbl="sibTrans2D1" presStyleIdx="1" presStyleCnt="4"/>
      <dgm:spPr/>
    </dgm:pt>
    <dgm:pt modelId="{B5642F3D-254E-4F59-B373-8DB8F1D42CCF}" type="pres">
      <dgm:prSet presAssocID="{E9CBB5D0-6DA1-47AB-BD9B-53170999A7DD}" presName="node" presStyleLbl="node1" presStyleIdx="2" presStyleCnt="5">
        <dgm:presLayoutVars>
          <dgm:bulletEnabled val="1"/>
        </dgm:presLayoutVars>
      </dgm:prSet>
      <dgm:spPr/>
    </dgm:pt>
    <dgm:pt modelId="{33AFBCD6-3DA5-4725-AA32-7B40D7DD72A7}" type="pres">
      <dgm:prSet presAssocID="{F8E6B524-4556-4073-ACC4-DB4B51AC3D5B}" presName="sibTrans" presStyleLbl="sibTrans2D1" presStyleIdx="2" presStyleCnt="4"/>
      <dgm:spPr/>
    </dgm:pt>
    <dgm:pt modelId="{05066A2B-1CEA-4455-8BA5-F40551961039}" type="pres">
      <dgm:prSet presAssocID="{F8E6B524-4556-4073-ACC4-DB4B51AC3D5B}" presName="connectorText" presStyleLbl="sibTrans2D1" presStyleIdx="2" presStyleCnt="4"/>
      <dgm:spPr/>
    </dgm:pt>
    <dgm:pt modelId="{F559A9CC-F8C0-407B-BD87-A244F9A21540}" type="pres">
      <dgm:prSet presAssocID="{59872E89-C7E2-4F4B-AD64-CCCCF1886AD8}" presName="node" presStyleLbl="node1" presStyleIdx="3" presStyleCnt="5">
        <dgm:presLayoutVars>
          <dgm:bulletEnabled val="1"/>
        </dgm:presLayoutVars>
      </dgm:prSet>
      <dgm:spPr/>
    </dgm:pt>
    <dgm:pt modelId="{B316136F-B592-4D0A-91B5-07B5CEE281FB}" type="pres">
      <dgm:prSet presAssocID="{9F06D8F5-959A-4ADA-A2E7-2B9E0D0101EC}" presName="sibTrans" presStyleLbl="sibTrans2D1" presStyleIdx="3" presStyleCnt="4"/>
      <dgm:spPr/>
    </dgm:pt>
    <dgm:pt modelId="{D476095F-A305-445B-B9BB-69997A7144D1}" type="pres">
      <dgm:prSet presAssocID="{9F06D8F5-959A-4ADA-A2E7-2B9E0D0101EC}" presName="connectorText" presStyleLbl="sibTrans2D1" presStyleIdx="3" presStyleCnt="4"/>
      <dgm:spPr/>
    </dgm:pt>
    <dgm:pt modelId="{8ABF2065-108B-4DB2-9222-8C64810E53AC}" type="pres">
      <dgm:prSet presAssocID="{43819A5F-A6CA-459B-8245-22A54216BE9A}" presName="node" presStyleLbl="node1" presStyleIdx="4" presStyleCnt="5">
        <dgm:presLayoutVars>
          <dgm:bulletEnabled val="1"/>
        </dgm:presLayoutVars>
      </dgm:prSet>
      <dgm:spPr/>
    </dgm:pt>
  </dgm:ptLst>
  <dgm:cxnLst>
    <dgm:cxn modelId="{683EDF07-D83B-40F1-B634-1925CF8CB94C}" type="presOf" srcId="{36CB061B-C863-4518-98C8-DA4C0C1CF29B}" destId="{F5DCFCCB-007D-476B-8F42-06167CBA1E0F}" srcOrd="0" destOrd="0" presId="urn:microsoft.com/office/officeart/2005/8/layout/process1"/>
    <dgm:cxn modelId="{6B728B13-3FE5-4566-B70C-EEA06425F1A8}" type="presOf" srcId="{BB564858-3100-4D4E-92C1-4C7C527A3678}" destId="{FFB9165F-CAFC-4D29-A8EC-715BDA7EA007}" srcOrd="1" destOrd="0" presId="urn:microsoft.com/office/officeart/2005/8/layout/process1"/>
    <dgm:cxn modelId="{A1878514-E237-4DBF-AB64-87632589CE2B}" type="presOf" srcId="{700C4BCC-4AAB-4AD6-A665-F9B7993931AD}" destId="{4801F3D9-23B2-46CC-9544-E7CFCC90A29C}" srcOrd="0" destOrd="0" presId="urn:microsoft.com/office/officeart/2005/8/layout/process1"/>
    <dgm:cxn modelId="{A2050F21-FA49-4211-BF94-BCE36EEAE185}" type="presOf" srcId="{E9CBB5D0-6DA1-47AB-BD9B-53170999A7DD}" destId="{B5642F3D-254E-4F59-B373-8DB8F1D42CCF}" srcOrd="0" destOrd="0" presId="urn:microsoft.com/office/officeart/2005/8/layout/process1"/>
    <dgm:cxn modelId="{C31BC02A-EEB6-459C-B252-FF2797DD0323}" type="presOf" srcId="{43819A5F-A6CA-459B-8245-22A54216BE9A}" destId="{8ABF2065-108B-4DB2-9222-8C64810E53AC}" srcOrd="0" destOrd="0" presId="urn:microsoft.com/office/officeart/2005/8/layout/process1"/>
    <dgm:cxn modelId="{2888F32A-A500-47CB-AD7F-E8D14559F7A9}" srcId="{EC66368C-9834-45B2-9175-A7F9CFC086AA}" destId="{E9CBB5D0-6DA1-47AB-BD9B-53170999A7DD}" srcOrd="2" destOrd="0" parTransId="{2B5AE13A-167E-4D52-BF15-1AED4072493C}" sibTransId="{F8E6B524-4556-4073-ACC4-DB4B51AC3D5B}"/>
    <dgm:cxn modelId="{9D130B63-A35F-4D05-A80B-C43BDFA6A676}" type="presOf" srcId="{36CB061B-C863-4518-98C8-DA4C0C1CF29B}" destId="{DFBBB049-8954-41E6-B52F-CBFC8D9332E1}" srcOrd="1" destOrd="0" presId="urn:microsoft.com/office/officeart/2005/8/layout/process1"/>
    <dgm:cxn modelId="{478EA465-12EE-409B-8A20-7642DE4DF7AA}" srcId="{EC66368C-9834-45B2-9175-A7F9CFC086AA}" destId="{59872E89-C7E2-4F4B-AD64-CCCCF1886AD8}" srcOrd="3" destOrd="0" parTransId="{43357BB4-4537-4478-99F8-309B6F0D34F6}" sibTransId="{9F06D8F5-959A-4ADA-A2E7-2B9E0D0101EC}"/>
    <dgm:cxn modelId="{8245A87B-0DD2-4BBD-A45A-951A0D7455C5}" type="presOf" srcId="{9F06D8F5-959A-4ADA-A2E7-2B9E0D0101EC}" destId="{B316136F-B592-4D0A-91B5-07B5CEE281FB}" srcOrd="0" destOrd="0" presId="urn:microsoft.com/office/officeart/2005/8/layout/process1"/>
    <dgm:cxn modelId="{0136F881-2D9B-4DE1-B14C-05EC38BEF63E}" srcId="{EC66368C-9834-45B2-9175-A7F9CFC086AA}" destId="{86A0F344-2388-4420-99C5-C35F8268D4E5}" srcOrd="1" destOrd="0" parTransId="{053C737B-A4D6-455E-B990-FA00402E693A}" sibTransId="{BB564858-3100-4D4E-92C1-4C7C527A3678}"/>
    <dgm:cxn modelId="{53E734A8-CDEB-4D24-B6B9-2FEB3622AF75}" srcId="{EC66368C-9834-45B2-9175-A7F9CFC086AA}" destId="{43819A5F-A6CA-459B-8245-22A54216BE9A}" srcOrd="4" destOrd="0" parTransId="{033229E0-F99C-4E6B-AEAF-1E356F8C364A}" sibTransId="{2F920206-B3EA-4EAB-885D-2481F78EECC7}"/>
    <dgm:cxn modelId="{8C377DAA-FD0E-4962-A319-0134FE598420}" type="presOf" srcId="{59872E89-C7E2-4F4B-AD64-CCCCF1886AD8}" destId="{F559A9CC-F8C0-407B-BD87-A244F9A21540}" srcOrd="0" destOrd="0" presId="urn:microsoft.com/office/officeart/2005/8/layout/process1"/>
    <dgm:cxn modelId="{2C9CD8AC-3A6A-4AEC-BE20-8A772BD972B1}" type="presOf" srcId="{EC66368C-9834-45B2-9175-A7F9CFC086AA}" destId="{F959DC59-6D0B-406C-B423-A6160B616C51}" srcOrd="0" destOrd="0" presId="urn:microsoft.com/office/officeart/2005/8/layout/process1"/>
    <dgm:cxn modelId="{7A6CD7BB-F78D-463C-8BF9-459421DF8748}" type="presOf" srcId="{9F06D8F5-959A-4ADA-A2E7-2B9E0D0101EC}" destId="{D476095F-A305-445B-B9BB-69997A7144D1}" srcOrd="1" destOrd="0" presId="urn:microsoft.com/office/officeart/2005/8/layout/process1"/>
    <dgm:cxn modelId="{4CEA41C5-409A-427B-9A24-6DA5DD2F9EB5}" type="presOf" srcId="{F8E6B524-4556-4073-ACC4-DB4B51AC3D5B}" destId="{05066A2B-1CEA-4455-8BA5-F40551961039}" srcOrd="1" destOrd="0" presId="urn:microsoft.com/office/officeart/2005/8/layout/process1"/>
    <dgm:cxn modelId="{DB62B6CD-64D9-48D3-917E-2016C8E0F999}" type="presOf" srcId="{86A0F344-2388-4420-99C5-C35F8268D4E5}" destId="{808CCA59-AFF5-42C0-AAA2-8413C9BC24BB}" srcOrd="0" destOrd="0" presId="urn:microsoft.com/office/officeart/2005/8/layout/process1"/>
    <dgm:cxn modelId="{5D0955D3-A24E-42C7-B9E1-4DDBAB796970}" type="presOf" srcId="{BB564858-3100-4D4E-92C1-4C7C527A3678}" destId="{DE9D75F0-5135-46E3-BC60-2A137956B423}" srcOrd="0" destOrd="0" presId="urn:microsoft.com/office/officeart/2005/8/layout/process1"/>
    <dgm:cxn modelId="{589AC1EE-4978-4376-8067-93358C6447C4}" srcId="{EC66368C-9834-45B2-9175-A7F9CFC086AA}" destId="{700C4BCC-4AAB-4AD6-A665-F9B7993931AD}" srcOrd="0" destOrd="0" parTransId="{7465627D-F7CE-4D7B-96EB-11DC41054A6A}" sibTransId="{36CB061B-C863-4518-98C8-DA4C0C1CF29B}"/>
    <dgm:cxn modelId="{33B62FFF-E6B4-4EB3-9E27-D99DC93EB32E}" type="presOf" srcId="{F8E6B524-4556-4073-ACC4-DB4B51AC3D5B}" destId="{33AFBCD6-3DA5-4725-AA32-7B40D7DD72A7}" srcOrd="0" destOrd="0" presId="urn:microsoft.com/office/officeart/2005/8/layout/process1"/>
    <dgm:cxn modelId="{172261A7-1ECC-4A9A-964B-2DB88DB5E104}" type="presParOf" srcId="{F959DC59-6D0B-406C-B423-A6160B616C51}" destId="{4801F3D9-23B2-46CC-9544-E7CFCC90A29C}" srcOrd="0" destOrd="0" presId="urn:microsoft.com/office/officeart/2005/8/layout/process1"/>
    <dgm:cxn modelId="{3F80A28F-E500-4091-9567-E60DE70FA1FF}" type="presParOf" srcId="{F959DC59-6D0B-406C-B423-A6160B616C51}" destId="{F5DCFCCB-007D-476B-8F42-06167CBA1E0F}" srcOrd="1" destOrd="0" presId="urn:microsoft.com/office/officeart/2005/8/layout/process1"/>
    <dgm:cxn modelId="{9DACEFAE-AE1B-4539-884E-174AA2BCE3FF}" type="presParOf" srcId="{F5DCFCCB-007D-476B-8F42-06167CBA1E0F}" destId="{DFBBB049-8954-41E6-B52F-CBFC8D9332E1}" srcOrd="0" destOrd="0" presId="urn:microsoft.com/office/officeart/2005/8/layout/process1"/>
    <dgm:cxn modelId="{345CB249-B10A-4B84-85A2-C5AF696CA61F}" type="presParOf" srcId="{F959DC59-6D0B-406C-B423-A6160B616C51}" destId="{808CCA59-AFF5-42C0-AAA2-8413C9BC24BB}" srcOrd="2" destOrd="0" presId="urn:microsoft.com/office/officeart/2005/8/layout/process1"/>
    <dgm:cxn modelId="{43E40421-4463-40F1-9CD7-95AC69C69A2F}" type="presParOf" srcId="{F959DC59-6D0B-406C-B423-A6160B616C51}" destId="{DE9D75F0-5135-46E3-BC60-2A137956B423}" srcOrd="3" destOrd="0" presId="urn:microsoft.com/office/officeart/2005/8/layout/process1"/>
    <dgm:cxn modelId="{64D9D943-5F66-4FAE-B9B7-3DF7FE7A0CAF}" type="presParOf" srcId="{DE9D75F0-5135-46E3-BC60-2A137956B423}" destId="{FFB9165F-CAFC-4D29-A8EC-715BDA7EA007}" srcOrd="0" destOrd="0" presId="urn:microsoft.com/office/officeart/2005/8/layout/process1"/>
    <dgm:cxn modelId="{F3784843-6918-4D9C-9282-5A1C24A9A554}" type="presParOf" srcId="{F959DC59-6D0B-406C-B423-A6160B616C51}" destId="{B5642F3D-254E-4F59-B373-8DB8F1D42CCF}" srcOrd="4" destOrd="0" presId="urn:microsoft.com/office/officeart/2005/8/layout/process1"/>
    <dgm:cxn modelId="{6700C6DE-0CCF-409E-A9D4-4FBFDA0F2447}" type="presParOf" srcId="{F959DC59-6D0B-406C-B423-A6160B616C51}" destId="{33AFBCD6-3DA5-4725-AA32-7B40D7DD72A7}" srcOrd="5" destOrd="0" presId="urn:microsoft.com/office/officeart/2005/8/layout/process1"/>
    <dgm:cxn modelId="{CBD8D80D-F647-49D8-9F65-4518BF3FCD0C}" type="presParOf" srcId="{33AFBCD6-3DA5-4725-AA32-7B40D7DD72A7}" destId="{05066A2B-1CEA-4455-8BA5-F40551961039}" srcOrd="0" destOrd="0" presId="urn:microsoft.com/office/officeart/2005/8/layout/process1"/>
    <dgm:cxn modelId="{AE5581EE-D337-43E6-8545-46CF46A6E3CD}" type="presParOf" srcId="{F959DC59-6D0B-406C-B423-A6160B616C51}" destId="{F559A9CC-F8C0-407B-BD87-A244F9A21540}" srcOrd="6" destOrd="0" presId="urn:microsoft.com/office/officeart/2005/8/layout/process1"/>
    <dgm:cxn modelId="{54071026-C226-42D2-AB9B-DB83FA519A4E}" type="presParOf" srcId="{F959DC59-6D0B-406C-B423-A6160B616C51}" destId="{B316136F-B592-4D0A-91B5-07B5CEE281FB}" srcOrd="7" destOrd="0" presId="urn:microsoft.com/office/officeart/2005/8/layout/process1"/>
    <dgm:cxn modelId="{B152120C-2AEA-493C-BBD0-4DC4BC0A54FC}" type="presParOf" srcId="{B316136F-B592-4D0A-91B5-07B5CEE281FB}" destId="{D476095F-A305-445B-B9BB-69997A7144D1}" srcOrd="0" destOrd="0" presId="urn:microsoft.com/office/officeart/2005/8/layout/process1"/>
    <dgm:cxn modelId="{D044E905-9B50-4856-9AE8-2F36DF726245}" type="presParOf" srcId="{F959DC59-6D0B-406C-B423-A6160B616C51}" destId="{8ABF2065-108B-4DB2-9222-8C64810E53AC}" srcOrd="8"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01F3D9-23B2-46CC-9544-E7CFCC90A29C}">
      <dsp:nvSpPr>
        <dsp:cNvPr id="0" name=""/>
        <dsp:cNvSpPr/>
      </dsp:nvSpPr>
      <dsp:spPr>
        <a:xfrm>
          <a:off x="2678" y="193098"/>
          <a:ext cx="830460" cy="5917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419" sz="700" kern="1200"/>
            <a:t>Identificar la necesidad de la medición de la contracción de los músculos</a:t>
          </a:r>
        </a:p>
      </dsp:txBody>
      <dsp:txXfrm>
        <a:off x="20008" y="210428"/>
        <a:ext cx="795800" cy="557043"/>
      </dsp:txXfrm>
    </dsp:sp>
    <dsp:sp modelId="{F5DCFCCB-007D-476B-8F42-06167CBA1E0F}">
      <dsp:nvSpPr>
        <dsp:cNvPr id="0" name=""/>
        <dsp:cNvSpPr/>
      </dsp:nvSpPr>
      <dsp:spPr>
        <a:xfrm>
          <a:off x="916185" y="385972"/>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419" sz="600" kern="1200"/>
        </a:p>
      </dsp:txBody>
      <dsp:txXfrm>
        <a:off x="916185" y="427163"/>
        <a:ext cx="123240" cy="123572"/>
      </dsp:txXfrm>
    </dsp:sp>
    <dsp:sp modelId="{808CCA59-AFF5-42C0-AAA2-8413C9BC24BB}">
      <dsp:nvSpPr>
        <dsp:cNvPr id="0" name=""/>
        <dsp:cNvSpPr/>
      </dsp:nvSpPr>
      <dsp:spPr>
        <a:xfrm>
          <a:off x="1165324" y="193098"/>
          <a:ext cx="830460" cy="5917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419" sz="700" kern="1200"/>
            <a:t>Identificar el estado del arte de la tarjeta de acondicionamiento de señales</a:t>
          </a:r>
        </a:p>
      </dsp:txBody>
      <dsp:txXfrm>
        <a:off x="1182654" y="210428"/>
        <a:ext cx="795800" cy="557043"/>
      </dsp:txXfrm>
    </dsp:sp>
    <dsp:sp modelId="{DE9D75F0-5135-46E3-BC60-2A137956B423}">
      <dsp:nvSpPr>
        <dsp:cNvPr id="0" name=""/>
        <dsp:cNvSpPr/>
      </dsp:nvSpPr>
      <dsp:spPr>
        <a:xfrm>
          <a:off x="2078831" y="385972"/>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419" sz="600" kern="1200"/>
        </a:p>
      </dsp:txBody>
      <dsp:txXfrm>
        <a:off x="2078831" y="427163"/>
        <a:ext cx="123240" cy="123572"/>
      </dsp:txXfrm>
    </dsp:sp>
    <dsp:sp modelId="{B5642F3D-254E-4F59-B373-8DB8F1D42CCF}">
      <dsp:nvSpPr>
        <dsp:cNvPr id="0" name=""/>
        <dsp:cNvSpPr/>
      </dsp:nvSpPr>
      <dsp:spPr>
        <a:xfrm>
          <a:off x="2327969" y="193098"/>
          <a:ext cx="830460" cy="5917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419" sz="700" kern="1200"/>
            <a:t>Realizar análisis de de la tarjeta de  acondicionamiento de señales.</a:t>
          </a:r>
        </a:p>
      </dsp:txBody>
      <dsp:txXfrm>
        <a:off x="2345299" y="210428"/>
        <a:ext cx="795800" cy="557043"/>
      </dsp:txXfrm>
    </dsp:sp>
    <dsp:sp modelId="{33AFBCD6-3DA5-4725-AA32-7B40D7DD72A7}">
      <dsp:nvSpPr>
        <dsp:cNvPr id="0" name=""/>
        <dsp:cNvSpPr/>
      </dsp:nvSpPr>
      <dsp:spPr>
        <a:xfrm>
          <a:off x="3241476" y="385972"/>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419" sz="600" kern="1200"/>
        </a:p>
      </dsp:txBody>
      <dsp:txXfrm>
        <a:off x="3241476" y="427163"/>
        <a:ext cx="123240" cy="123572"/>
      </dsp:txXfrm>
    </dsp:sp>
    <dsp:sp modelId="{F559A9CC-F8C0-407B-BD87-A244F9A21540}">
      <dsp:nvSpPr>
        <dsp:cNvPr id="0" name=""/>
        <dsp:cNvSpPr/>
      </dsp:nvSpPr>
      <dsp:spPr>
        <a:xfrm>
          <a:off x="3490614" y="193098"/>
          <a:ext cx="830460" cy="5917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419" sz="700" kern="1200"/>
            <a:t>Prototipar el acondicionamiento de señales de la tarjeta.</a:t>
          </a:r>
        </a:p>
      </dsp:txBody>
      <dsp:txXfrm>
        <a:off x="3507944" y="210428"/>
        <a:ext cx="795800" cy="557043"/>
      </dsp:txXfrm>
    </dsp:sp>
    <dsp:sp modelId="{B316136F-B592-4D0A-91B5-07B5CEE281FB}">
      <dsp:nvSpPr>
        <dsp:cNvPr id="0" name=""/>
        <dsp:cNvSpPr/>
      </dsp:nvSpPr>
      <dsp:spPr>
        <a:xfrm>
          <a:off x="4404121" y="385972"/>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419" sz="600" kern="1200"/>
        </a:p>
      </dsp:txBody>
      <dsp:txXfrm>
        <a:off x="4404121" y="427163"/>
        <a:ext cx="123240" cy="123572"/>
      </dsp:txXfrm>
    </dsp:sp>
    <dsp:sp modelId="{8ABF2065-108B-4DB2-9222-8C64810E53AC}">
      <dsp:nvSpPr>
        <dsp:cNvPr id="0" name=""/>
        <dsp:cNvSpPr/>
      </dsp:nvSpPr>
      <dsp:spPr>
        <a:xfrm>
          <a:off x="4653260" y="193098"/>
          <a:ext cx="830460" cy="5917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419" sz="700" kern="1200"/>
            <a:t>Realizar puebas de funcionamiento de la tarjeta de acondicionamiento de señales.</a:t>
          </a:r>
        </a:p>
      </dsp:txBody>
      <dsp:txXfrm>
        <a:off x="4670590" y="210428"/>
        <a:ext cx="795800" cy="55704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Bet11</b:Tag>
    <b:SourceType>BookSection</b:SourceType>
    <b:Guid>{CF93F915-DF2E-4111-8BAC-CD8C03987B73}</b:Guid>
    <b:Title>Innovation and national systems</b:Title>
    <b:Year>2011</b:Year>
    <b:Author>
      <b:Author>
        <b:NameList>
          <b:Person>
            <b:Last>Betz</b:Last>
            <b:First>F.</b:First>
          </b:Person>
        </b:NameList>
      </b:Author>
      <b:BookAuthor>
        <b:NameList>
          <b:Person>
            <b:Last>Betz</b:Last>
            <b:First>F.</b:First>
          </b:Person>
        </b:NameList>
      </b:BookAuthor>
    </b:Author>
    <b:BookTitle>Managing technological innovation: competitive advantage from change</b:BookTitle>
    <b:Pages>380</b:Pages>
    <b:City>United States of America</b:City>
    <b:Publisher>John Wiley &amp; Sons, Inc.</b:Publisher>
    <b:Edition>3rd.</b:Edition>
    <b:RefOrder>1</b:RefOrder>
  </b:Source>
  <b:Source>
    <b:Tag>AMI16</b:Tag>
    <b:SourceType>DocumentFromInternetSite</b:SourceType>
    <b:Guid>{8763445D-6E9A-466D-B9CD-C7DB9C604715}</b:Guid>
    <b:Author>
      <b:Author>
        <b:Corporate>AMIPCI</b:Corporate>
      </b:Author>
    </b:Author>
    <b:Title>Asociación Mexicana de Internet 2015</b:Title>
    <b:InternetSiteTitle>11º estudio sobre los hábitos de los usuarios de internet en México 2015.</b:InternetSiteTitle>
    <b:Year>2016</b:Year>
    <b:Month>04</b:Month>
    <b:Day>25</b:Day>
    <b:URL>https://www.amipci.org.mx/images/AMIPCI_HABITOS_DEL_INTERNAUTA_MEXICANO_2015.pdf</b:URL>
    <b:RefOrder>2</b:RefOrder>
  </b:Source>
  <b:Source>
    <b:Tag>Áva13</b:Tag>
    <b:SourceType>JournalArticle</b:SourceType>
    <b:Guid>{1070BD7E-AF05-4AC9-AB1F-63BB0352BFC3}</b:Guid>
    <b:Title>La gestión responsable de redes sociales digitales en las organizaciones</b:Title>
    <b:Year>2013</b:Year>
    <b:Pages>SF</b:Pages>
    <b:Author>
      <b:Author>
        <b:NameList>
          <b:Person>
            <b:Last>Ávalos</b:Last>
            <b:First>K.</b:First>
          </b:Person>
        </b:NameList>
      </b:Author>
    </b:Author>
    <b:JournalName>Revista digital universitaria. UNAM</b:JournalName>
    <b:Volume>14</b:Volume>
    <b:Issue>8</b:Issue>
    <b:RefOrder>3</b:RefOrder>
  </b:Source>
  <b:Source>
    <b:Tag>Dom16</b:Tag>
    <b:SourceType>DocumentFromInternetSite</b:SourceType>
    <b:Guid>{918B53AF-C653-486F-867F-A005696DA8A2}</b:Guid>
    <b:Title>Jóvenes universitarios y uso de las redes sociales en México.</b:Title>
    <b:Year>2016</b:Year>
    <b:Author>
      <b:Author>
        <b:NameList>
          <b:Person>
            <b:Last>Domínguez</b:Last>
            <b:First>F.</b:First>
          </b:Person>
          <b:Person>
            <b:Last>López</b:Last>
            <b:First>R.</b:First>
          </b:Person>
        </b:NameList>
      </b:Author>
    </b:Author>
    <b:InternetSiteTitle>Líneas de investigación en la década de 2004 – 2014. Memorias XXVIIamic, Encuentro Nacional Querétaro 2015.</b:InternetSiteTitle>
    <b:Month>04</b:Month>
    <b:Day>25</b:Day>
    <b:URL>http://amic2015.uaq.mx/docs/memorias/GI_06_PDF/GI_06_Jovenes_universitarios.pdf</b:URL>
    <b:RefOrder>4</b:RefOrder>
  </b:Source>
  <b:Source>
    <b:Tag>Ram16</b:Tag>
    <b:SourceType>Interview</b:SourceType>
    <b:Guid>{AC758642-9FB6-43E0-8F94-392036D31DE7}</b:Guid>
    <b:Title>La calidad de vida en relación con el uso de las redes sociales electrónicas: un estudio de percepción de los estudiantes de bachillerato en la ciudad de Xalapa, Ver. Tesis para obtener el Grado de Doctor en Desarrollo Económico y Sectorial Estratégico.</b:Title>
    <b:Year>2016</b:Year>
    <b:Month>02</b:Month>
    <b:Day>08</b:Day>
    <b:Author>
      <b:Interviewee>
        <b:NameList>
          <b:Person>
            <b:Last>Ramírez</b:Last>
            <b:First>J.</b:First>
          </b:Person>
        </b:NameList>
      </b:Interviewee>
      <b:Interviewer>
        <b:NameList>
          <b:Person>
            <b:Last>Bocarando</b:Last>
            <b:First>J.</b:First>
          </b:Person>
        </b:NameList>
      </b:Interviewer>
    </b:Author>
    <b:RefOrder>5</b:RefOrder>
  </b:Source>
  <b:Source>
    <b:Tag>Nar16</b:Tag>
    <b:SourceType>Interview</b:SourceType>
    <b:Guid>{3A5D19E4-8777-4E18-A0E7-DB2A8FE2E43D}</b:Guid>
    <b:Author>
      <b:Interviewee>
        <b:NameList>
          <b:Person>
            <b:Last>Narváez</b:Last>
            <b:First>D.</b:First>
          </b:Person>
        </b:NameList>
      </b:Interviewee>
      <b:Interviewer>
        <b:NameList>
          <b:Person>
            <b:Last>J.</b:Last>
            <b:First>Bocarando.</b:First>
          </b:Person>
        </b:NameList>
      </b:Interviewer>
    </b:Author>
    <b:Title>Relación entre el uso de las redes sociales electrónicas y calidad de vida de los estudiantes de nivel bachillerato del sector privado en la ciudad de Xalapa, Ver. Tesis para obtener el título de Licenciado en Sistemas Computacionales Administrativos</b:Title>
    <b:Year>2016</b:Year>
    <b:Month>02</b:Month>
    <b:Day>08</b:Day>
    <b:RefOrder>6</b:RefOrder>
  </b:Source>
  <b:Source>
    <b:Tag>Mit74</b:Tag>
    <b:SourceType>JournalArticle</b:SourceType>
    <b:Guid>{07E3A095-051C-4BE1-B112-6F29418805F1}</b:Guid>
    <b:Title>Social Networks</b:Title>
    <b:Year>1974</b:Year>
    <b:Author>
      <b:Author>
        <b:NameList>
          <b:Person>
            <b:Last>Mitchell</b:Last>
            <b:First>C.</b:First>
          </b:Person>
        </b:NameList>
      </b:Author>
    </b:Author>
    <b:JournalName>Annual Review of Anthropology</b:JournalName>
    <b:Pages>279-299.</b:Pages>
    <b:Volume>3</b:Volume>
    <b:RefOrder>7</b:RefOrder>
  </b:Source>
  <b:Source>
    <b:Tag>Mol05</b:Tag>
    <b:SourceType>JournalArticle</b:SourceType>
    <b:Guid>{0CC477CE-37F5-44A4-8454-2A8B95AB5D7B}</b:Guid>
    <b:Author>
      <b:Author>
        <b:NameList>
          <b:Person>
            <b:Last>Molina</b:Last>
            <b:First>J.</b:First>
          </b:Person>
        </b:NameList>
      </b:Author>
    </b:Author>
    <b:Title>El estudio de las redes personales: contribuciones y métodos y perspectivas</b:Title>
    <b:JournalName>Revista de Metodología de Ciencias Sociales</b:JournalName>
    <b:Year>2005</b:Year>
    <b:Pages>71-105</b:Pages>
    <b:Volume>10</b:Volume>
    <b:RefOrder>8</b:RefOrder>
  </b:Source>
  <b:Source>
    <b:Tag>3Se</b:Tag>
    <b:SourceType>JournalArticle</b:SourceType>
    <b:Guid>{88195184-1A62-4D90-8AEF-53E9A16A48A3}</b:Guid>
    <b:Author>
      <b:Author>
        <b:NameList>
          <b:Person>
            <b:Last>Seevers</b:Last>
            <b:First>M.</b:First>
          </b:Person>
          <b:Person>
            <b:Last>Steven</b:Last>
            <b:First>S.</b:First>
          </b:Person>
          <b:Person>
            <b:Last>Scott</b:Last>
            <b:First>K.</b:First>
          </b:Person>
        </b:NameList>
      </b:Author>
    </b:Author>
    <b:Title>A Social Network Perspective on Sales Forces Ethics</b:Title>
    <b:Pages>341-353</b:Pages>
    <b:Volume>27</b:Volume>
    <b:Issue>4</b:Issue>
    <b:JournalName>Journal of Personal Selling &amp; Sales Management</b:JournalName>
    <b:Year>2007</b:Year>
    <b:RefOrder>9</b:RefOrder>
  </b:Source>
  <b:Source>
    <b:Tag>Rob04</b:Tag>
    <b:SourceType>JournalArticle</b:SourceType>
    <b:Guid>{FEDF747A-40FF-4C9A-9CE4-28C429E35915}</b:Guid>
    <b:Author>
      <b:Author>
        <b:NameList>
          <b:Person>
            <b:Last>Robles</b:Last>
            <b:First>J.</b:First>
          </b:Person>
        </b:NameList>
      </b:Author>
    </b:Author>
    <b:Title>Sistemas productivos locales incompletos: vacíos relacionales en el subsector alimentario de la delegación Azcapotzalco.</b:Title>
    <b:JournalName>Análisis Económico</b:JournalName>
    <b:Year>2004</b:Year>
    <b:Pages>245-268.</b:Pages>
    <b:Volume>19</b:Volume>
    <b:Issue>40</b:Issue>
    <b:RefOrder>10</b:RefOrder>
  </b:Source>
  <b:Source>
    <b:Tag>Lug11</b:Tag>
    <b:SourceType>JournalArticle</b:SourceType>
    <b:Guid>{DF921C42-EE34-4084-A5E3-372B8CF3F85D}</b:Guid>
    <b:Author>
      <b:Author>
        <b:NameList>
          <b:Person>
            <b:Last>Lugo-Morin</b:Last>
            <b:First>D.</b:First>
          </b:Person>
        </b:NameList>
      </b:Author>
    </b:Author>
    <b:Title>Análisis de redes sociales en el mundo rural: guía inicial</b:Title>
    <b:JournalName>Revista de Estuduis Sociales</b:JournalName>
    <b:Year>2011</b:Year>
    <b:Pages>129-142</b:Pages>
    <b:Issue>38</b:Issue>
    <b:RefOrder>11</b:RefOrder>
  </b:Source>
  <b:Source>
    <b:Tag>Nel89</b:Tag>
    <b:SourceType>JournalArticle</b:SourceType>
    <b:Guid>{DCC78059-CBDA-418B-A662-D726BDB21F96}</b:Guid>
    <b:Author>
      <b:Author>
        <b:NameList>
          <b:Person>
            <b:Last>Nelson</b:Last>
            <b:First>R.</b:First>
          </b:Person>
        </b:NameList>
      </b:Author>
    </b:Author>
    <b:Title>The Strength of Strong Ties: Social Networks and Intergroup Conflict in Organizations.</b:Title>
    <b:JournalName>Academy of Management Journal</b:JournalName>
    <b:Year>1989</b:Year>
    <b:Pages>377-401</b:Pages>
    <b:Volume>32</b:Volume>
    <b:Issue>2</b:Issue>
    <b:RefOrder>12</b:RefOrder>
  </b:Source>
  <b:Source>
    <b:Tag>Gon07</b:Tag>
    <b:SourceType>JournalArticle</b:SourceType>
    <b:Guid>{F797463F-33FD-4B27-9C58-3FA2A3606EB4}</b:Guid>
    <b:Author>
      <b:Author>
        <b:NameList>
          <b:Person>
            <b:Last>González</b:Last>
            <b:First>C.</b:First>
          </b:Person>
          <b:Person>
            <b:Last>Basaldúa</b:Last>
            <b:First>M.</b:First>
          </b:Person>
        </b:NameList>
      </b:Author>
    </b:Author>
    <b:Title>La formación de redes sociales en el estudio de actores y familias. Perspectivas de estudio en historia y antropología.</b:Title>
    <b:JournalName>Revista hispana para el análisis de redes sociales</b:JournalName>
    <b:Year>2007</b:Year>
    <b:Pages>1-27</b:Pages>
    <b:Issue>8</b:Issue>
    <b:RefOrder>13</b:RefOrder>
  </b:Source>
  <b:Source>
    <b:Tag>Ben</b:Tag>
    <b:SourceType>JournalArticle</b:SourceType>
    <b:Guid>{D511824C-9BE3-4A51-B5B2-3EC4519BE878}</b:Guid>
    <b:Author>
      <b:Author>
        <b:NameList>
          <b:Person>
            <b:Last>Bennett</b:Last>
            <b:First>J.</b:First>
          </b:Person>
          <b:Person>
            <b:Last>Owers</b:Last>
            <b:First>M.</b:First>
          </b:Person>
          <b:Person>
            <b:Last>Tucker</b:Last>
            <b:First>P.</b:First>
          </b:Person>
        </b:NameList>
      </b:Author>
    </b:Author>
    <b:Title>Workplace impact of social networking</b:Title>
    <b:JournalName>Property Management</b:JournalName>
    <b:Pages>138 – 148</b:Pages>
    <b:Year>2010</b:Year>
    <b:Volume>28</b:Volume>
    <b:Issue>3</b:Issue>
    <b:RefOrder>14</b:RefOrder>
  </b:Source>
  <b:Source>
    <b:Tag>Gar12</b:Tag>
    <b:SourceType>JournalArticle</b:SourceType>
    <b:Guid>{9B00C0A6-558B-4FC3-AB7E-E0A8CB7A0ED6}</b:Guid>
    <b:Author>
      <b:Author>
        <b:NameList>
          <b:Person>
            <b:Last>Garrigos-Simon</b:Last>
            <b:First>F.</b:First>
          </b:Person>
          <b:Person>
            <b:Last>Lapiedra</b:Last>
            <b:First>R.</b:First>
          </b:Person>
          <b:Person>
            <b:Last>Barberá</b:Last>
            <b:First>T.</b:First>
          </b:Person>
        </b:NameList>
      </b:Author>
    </b:Author>
    <b:Title>Social networks and Web 3.0: their impact on the management and marketing of organizations</b:Title>
    <b:JournalName>Management Decision</b:JournalName>
    <b:Year>2012</b:Year>
    <b:Pages>1880 – 1890.</b:Pages>
    <b:Volume>50</b:Volume>
    <b:Issue>10</b:Issue>
    <b:RefOrder>15</b:RefOrder>
  </b:Source>
  <b:Source>
    <b:Tag>Lin06</b:Tag>
    <b:SourceType>JournalArticle</b:SourceType>
    <b:Guid>{25498E79-DF98-4DC8-B97F-E30F57289FDE}</b:Guid>
    <b:Author>
      <b:Author>
        <b:NameList>
          <b:Person>
            <b:Last>Lin</b:Last>
            <b:First>F.</b:First>
          </b:Person>
          <b:Person>
            <b:Last>Hsueh</b:Last>
            <b:First>C.</b:First>
          </b:Person>
        </b:NameList>
      </b:Author>
    </b:Author>
    <b:Title>Knowledge map creation and maintenance for virtual communities of practice</b:Title>
    <b:Year>2006</b:Year>
    <b:JournalName>Information Processing and Management</b:JournalName>
    <b:Pages>551-68</b:Pages>
    <b:Volume>42 </b:Volume>
    <b:Issue>2</b:Issue>
    <b:RefOrder>16</b:RefOrder>
  </b:Source>
  <b:Source>
    <b:Tag>Bel08</b:Tag>
    <b:SourceType>Book</b:SourceType>
    <b:Guid>{022AF67D-FFD0-45C0-B85B-BADE41BD70E0}</b:Guid>
    <b:Title>Working without Walls</b:Title>
    <b:Year>2008</b:Year>
    <b:Author>
      <b:Author>
        <b:NameList>
          <b:Person>
            <b:Last>Bell</b:Last>
            <b:First>A.</b:First>
          </b:Person>
          <b:Person>
            <b:Last>Graham</b:Last>
            <b:First>R.</b:First>
          </b:Person>
          <b:Person>
            <b:Last>Hardy</b:Last>
            <b:First>B.</b:First>
          </b:Person>
          <b:Person>
            <b:Last>Harrison</b:Last>
            <b:First>A.</b:First>
          </b:Person>
          <b:Person>
            <b:Last>Stansall</b:Last>
            <b:First>P.</b:First>
          </b:Person>
          <b:Person>
            <b:Last>White</b:Last>
            <b:First>A.</b:First>
          </b:Person>
        </b:NameList>
      </b:Author>
    </b:Author>
    <b:City>UK</b:City>
    <b:Publisher>OGC and DEGW</b:Publisher>
    <b:RefOrder>17</b:RefOrder>
  </b:Source>
  <b:Source>
    <b:Tag>Uka15</b:Tag>
    <b:SourceType>JournalArticle</b:SourceType>
    <b:Guid>{2189C1DA-8606-4BA2-A840-A2DD3DA96090}</b:Guid>
    <b:Author>
      <b:Author>
        <b:NameList>
          <b:Person>
            <b:Last>Ukachi</b:Last>
            <b:First>N.</b:First>
          </b:Person>
        </b:NameList>
      </b:Author>
    </b:Author>
    <b:Title>Exploration of information literacy skills status and impacts on the quality of life of artisans in Lagos, Nigeria</b:Title>
    <b:JournalName>New Library World</b:JournalName>
    <b:Year>2015</b:Year>
    <b:Pages>578-587</b:Pages>
    <b:Volume>116</b:Volume>
    <b:Issue>9/10</b:Issue>
    <b:RefOrder>18</b:RefOrder>
  </b:Source>
  <b:Source>
    <b:Tag>The16</b:Tag>
    <b:SourceType>InternetSite</b:SourceType>
    <b:Guid>{9AE22F79-6F14-4C22-82DC-4494251F5E2F}</b:Guid>
    <b:Title>World development indicators</b:Title>
    <b:Year>2016</b:Year>
    <b:Author>
      <b:Author>
        <b:Corporate>The World Bank</b:Corporate>
      </b:Author>
    </b:Author>
    <b:Month>04</b:Month>
    <b:Day>25</b:Day>
    <b:URL>http://data.worldbank.org/ products/wdi</b:URL>
    <b:RefOrder>19</b:RefOrder>
  </b:Source>
  <b:Source>
    <b:Tag>MdS10</b:Tag>
    <b:SourceType>JournalArticle</b:SourceType>
    <b:Guid>{BF0304E4-BA6F-4166-9132-CB251CFFBA60}</b:Guid>
    <b:Author>
      <b:Author>
        <b:NameList>
          <b:Person>
            <b:Last>Md‐Sidin</b:Last>
            <b:First>S.</b:First>
          </b:Person>
          <b:Person>
            <b:Last>Sambasivan</b:Last>
            <b:First>M.</b:First>
          </b:Person>
          <b:Person>
            <b:Last>Ismail</b:Last>
            <b:First>I.</b:First>
          </b:Person>
        </b:NameList>
      </b:Author>
    </b:Author>
    <b:Title>Relationship between work‐family conflict and quality of life: An investigation into the role of social support</b:Title>
    <b:JournalName>Journal of Managerial Psychology</b:JournalName>
    <b:Year>2010</b:Year>
    <b:Pages>51-81</b:Pages>
    <b:Volume>25</b:Volume>
    <b:Issue>1</b:Issue>
    <b:RefOrder>21</b:RefOrder>
  </b:Source>
  <b:Source>
    <b:Tag>Ara13</b:Tag>
    <b:SourceType>JournalArticle</b:SourceType>
    <b:Guid>{01CD141B-129A-4BFB-BF03-FD76E23AC4EC}</b:Guid>
    <b:Author>
      <b:Author>
        <b:NameList>
          <b:Person>
            <b:Last>Araújo de Azevedo</b:Last>
            <b:First>J.</b:First>
          </b:Person>
          <b:Person>
            <b:Last>Ferreira</b:Last>
            <b:First>M.</b:First>
          </b:Person>
          <b:Person>
            <b:Last>Pereira</b:Last>
            <b:First>F.</b:First>
          </b:Person>
        </b:NameList>
      </b:Author>
    </b:Author>
    <b:Title>Are you happy here?”: the relationship between quality of life and place attachment</b:Title>
    <b:JournalName>Journal of Place Management and Development</b:JournalName>
    <b:Year>2013</b:Year>
    <b:Pages>102-119</b:Pages>
    <b:Volume>6</b:Volume>
    <b:Issue>2</b:Issue>
    <b:RefOrder>22</b:RefOrder>
  </b:Source>
  <b:Source>
    <b:Tag>Yor03</b:Tag>
    <b:SourceType>JournalArticle</b:SourceType>
    <b:Guid>{08101287-81A6-4B02-B258-36255BAED80C}</b:Guid>
    <b:Author>
      <b:Author>
        <b:NameList>
          <b:Person>
            <b:Last>Yoruk</b:Last>
            <b:First>B.</b:First>
          </b:Person>
          <b:Person>
            <b:Last>Zaim</b:Last>
            <b:First>O.</b:First>
          </b:Person>
        </b:NameList>
      </b:Author>
    </b:Author>
    <b:Title>Measuring the quality of life in European Union: The case of Turkey as a candidate country</b:Title>
    <b:JournalName>International Journal of Social Economics</b:JournalName>
    <b:Year>2003</b:Year>
    <b:Pages>1162-1176</b:Pages>
    <b:Volume>30</b:Volume>
    <b:Issue>11</b:Issue>
    <b:RefOrder>23</b:RefOrder>
  </b:Source>
  <b:Source>
    <b:Tag>22E</b:Tag>
    <b:SourceType>JournalArticle</b:SourceType>
    <b:Guid>{0ED48A4C-38BE-44DA-B19B-EA6FFCA51295}</b:Guid>
    <b:Author>
      <b:Author>
        <b:NameList>
          <b:Person>
            <b:Last>Edwards</b:Last>
            <b:First>E.</b:First>
          </b:Person>
          <b:Person>
            <b:Last>O'Reilly</b:Last>
            <b:First>M.</b:First>
          </b:Person>
        </b:NameList>
      </b:Author>
    </b:Author>
    <b:Title>Involving older people in research to examine quality of life in residential aged care</b:Title>
    <b:JournalName>Quality in Ageing and Older Adults</b:JournalName>
    <b:Pages>38-44</b:Pages>
    <b:Year>2003</b:Year>
    <b:Volume>4</b:Volume>
    <b:Issue>4</b:Issue>
    <b:RefOrder>24</b:RefOrder>
  </b:Source>
  <b:Source>
    <b:Tag>Her</b:Tag>
    <b:SourceType>Book</b:SourceType>
    <b:Guid>{AB496695-5FE2-4860-AE50-94D780FD82AE}</b:Guid>
    <b:Author>
      <b:Author>
        <b:NameList>
          <b:Person>
            <b:Last>Hernández</b:Last>
            <b:First>R.</b:First>
          </b:Person>
          <b:Person>
            <b:Last>Fernández</b:Last>
            <b:First>C.</b:First>
          </b:Person>
        </b:NameList>
      </b:Author>
    </b:Author>
    <b:Title>Metodología de la investigación.</b:Title>
    <b:Year>2014</b:Year>
    <b:City>México</b:City>
    <b:Publisher>McGraw-Hill</b:Publisher>
    <b:Edition>5a</b:Edition>
    <b:RefOrder>25</b:RefOrder>
  </b:Source>
  <b:Source>
    <b:Tag>Mor16</b:Tag>
    <b:SourceType>DocumentFromInternetSite</b:SourceType>
    <b:Guid>{DEF23006-4559-495B-8D02-504808421ECB}</b:Guid>
    <b:Title>Estadística aplicada a las Ciencias Sociales</b:Title>
    <b:Year>2016</b:Year>
    <b:InternetSiteTitle>Tamaño necesario de la muestra: ¿Cuántos sujetos necesitamos?</b:InternetSiteTitle>
    <b:Month>04</b:Month>
    <b:Day>25</b:Day>
    <b:URL>http://web.upcomillas.es/personal/peter/investigacion/Tama%f1oMuestra.pdf</b:URL>
    <b:Author>
      <b:Author>
        <b:NameList>
          <b:Person>
            <b:Last>Morales</b:Last>
            <b:First>V.</b:First>
          </b:Person>
        </b:NameList>
      </b:Author>
    </b:Author>
    <b:RefOrder>26</b:RefOrder>
  </b:Source>
  <b:Source>
    <b:Tag>Gar161</b:Tag>
    <b:SourceType>InternetSite</b:SourceType>
    <b:Guid>{7F5292FB-F3B6-4346-B745-B3AF414F97C5}</b:Guid>
    <b:Author>
      <b:Author>
        <b:NameList>
          <b:Person>
            <b:Last>García</b:Last>
            <b:First>J.</b:First>
          </b:Person>
          <b:Person>
            <b:Last>Reding</b:Last>
            <b:First>A.</b:First>
          </b:Person>
          <b:Person>
            <b:Last>López</b:Last>
            <b:First>J.</b:First>
          </b:Person>
        </b:NameList>
      </b:Author>
    </b:Author>
    <b:Title>Metodología de investigación en educación médica</b:Title>
    <b:InternetSiteTitle>Cálculo del tamaño de la muestra en investigación en educación médica. Departamento de Bioestadística y Bioinformática, Dirección de Investigación, Hospital General de México “Dr. Eduardo Liceaga”</b:InternetSiteTitle>
    <b:Year>2016</b:Year>
    <b:Month>04</b:Month>
    <b:Day>25</b:Day>
    <b:URL>http://riem.facmed.unam.mx/sites/all/archivos/V2Num04/07_MIE_CALCULO_DEL_TAMANO.PDF</b:URL>
    <b:RefOrder>27</b:RefOrder>
  </b:Source>
  <b:Source>
    <b:Tag>Afu09</b:Tag>
    <b:SourceType>BookSection</b:SourceType>
    <b:Guid>{20E04D1E-5B71-497F-B651-4B6ECD514B82}</b:Guid>
    <b:Title>1 Introduction and Overview</b:Title>
    <b:Year>2009</b:Year>
    <b:City>NY</b:City>
    <b:Publisher>Routledge</b:Publisher>
    <b:Author>
      <b:Author>
        <b:NameList>
          <b:Person>
            <b:Last>Afuah</b:Last>
            <b:First>Allan</b:First>
          </b:Person>
        </b:NameList>
      </b:Author>
      <b:BookAuthor>
        <b:NameList>
          <b:Person>
            <b:Last>Afuah</b:Last>
            <b:First>Allan</b:First>
          </b:Person>
        </b:NameList>
      </b:BookAuthor>
    </b:Author>
    <b:BookTitle>Strategic innovation: new game strategies for competitive advantage</b:BookTitle>
    <b:Pages>503</b:Pages>
    <b:RefOrder>28</b:RefOrder>
  </b:Source>
  <b:Source>
    <b:Tag>Wal00</b:Tag>
    <b:SourceType>JournalArticle</b:SourceType>
    <b:Guid>{DB7707D1-6606-4B4F-AAED-3604AAE6BA04}</b:Guid>
    <b:Title>Researching quality of life in old age</b:Title>
    <b:Year>2000</b:Year>
    <b:Author>
      <b:Author>
        <b:NameList>
          <b:Person>
            <b:Last>Walker</b:Last>
            <b:First>A.</b:First>
          </b:Person>
          <b:Person>
            <b:Last>Martimo</b:Last>
            <b:First>K.</b:First>
          </b:Person>
        </b:NameList>
      </b:Author>
    </b:Author>
    <b:JournalName>Quality in Ageing and Older Adults</b:JournalName>
    <b:Pages>8-14</b:Pages>
    <b:Volume>1</b:Volume>
    <b:Issue>1</b:Issue>
    <b:RefOrder>20</b:RefOrder>
  </b:Source>
  <b:Source>
    <b:Tag>Ble15</b:Tag>
    <b:SourceType>JournalArticle</b:SourceType>
    <b:Guid>{1644F728-5F0A-4645-89D4-56B11EA1D0D3}</b:Guid>
    <b:Title>Exploration of information literacy skills status and impacts on the quality of life of artisans in Lagos, Nigeria</b:Title>
    <b:Year>2015</b:Year>
    <b:Author>
      <b:Author>
        <b:NameList>
          <b:Person>
            <b:Last>Blessing</b:Last>
            <b:First>N.</b:First>
          </b:Person>
        </b:NameList>
      </b:Author>
    </b:Author>
    <b:JournalName>New Library World</b:JournalName>
    <b:Pages>578-587</b:Pages>
    <b:Volume>116</b:Volume>
    <b:Issue>9/10</b:Issue>
    <b:RefOrder>29</b:RefOrder>
  </b:Source>
  <b:Source>
    <b:Tag>Sec16</b:Tag>
    <b:SourceType>InternetSite</b:SourceType>
    <b:Guid>{6A2550C6-B787-421B-8FC3-B29EE389392D}</b:Guid>
    <b:Author>
      <b:Author>
        <b:Corporate>Secretaría de Educación Pública</b:Corporate>
      </b:Author>
    </b:Author>
    <b:Title>Sistema Nacional de Información de Escuelas</b:Title>
    <b:InternetSiteTitle>Escuelas privadas de nivel superior en la ciudad de Xalapa, Veracruz</b:InternetSiteTitle>
    <b:Year>2016</b:Year>
    <b:Month>04</b:Month>
    <b:Day>25</b:Day>
    <b:URL>http://planeacion.sep.gob.mx/</b:URL>
    <b:RefOrder>30</b:RefOrder>
  </b:Source>
  <b:Source>
    <b:Tag>Zor10</b:Tag>
    <b:SourceType>JournalArticle</b:SourceType>
    <b:Guid>{3EB5AAB1-52ED-474C-ACAD-19F6B2633E15}</b:Guid>
    <b:Title>El futuro del bachillerato mexicano y el trabajo colegiado</b:Title>
    <b:JournalName>Lecciones de una interneación exitosa</b:JournalName>
    <b:Year>2010</b:Year>
    <b:Pages>229</b:Pages>
    <b:Author>
      <b:Author>
        <b:NameList>
          <b:Person>
            <b:Last>Zorrilla Alcalá</b:Last>
            <b:Middle>Fidel</b:Middle>
            <b:First>Juan</b:First>
          </b:Person>
        </b:NameList>
      </b:Author>
    </b:Author>
    <b:City>México</b:City>
    <b:Publisher>Biblioteca de la Educación Superior, ANUIES</b:Publisher>
    <b:RefOrder>2</b:RefOrder>
  </b:Source>
  <b:Source>
    <b:Tag>Lóp08</b:Tag>
    <b:SourceType>JournalArticle</b:SourceType>
    <b:Guid>{C38CF7B4-EDC0-4604-886F-11FF51D6B4CA}</b:Guid>
    <b:Title>Eficiencia Terminal en la Educación Superior la necesidad de un nuevo paradigma</b:Title>
    <b:JournalName>Revista de la Educación Superior</b:JournalName>
    <b:Year>2008</b:Year>
    <b:Pages>135-151</b:Pages>
    <b:Author>
      <b:Author>
        <b:NameList>
          <b:Person>
            <b:Last>López Súarez</b:Last>
            <b:First>Adolfo</b:First>
          </b:Person>
          <b:Person>
            <b:Last>Albíter Rodríguez</b:Last>
            <b:First>Ángel</b:First>
          </b:Person>
          <b:Person>
            <b:Last>Ramírez Revueltas</b:Last>
            <b:First>Laura</b:First>
          </b:Person>
        </b:NameList>
      </b:Author>
    </b:Author>
    <b:Volume>XXXVII</b:Volume>
    <b:Issue>146</b:Issue>
    <b:StandardNumber>ISSN: 185-2760</b:StandardNumber>
    <b:RefOrder>1</b:RefOrder>
  </b:Source>
  <b:Source>
    <b:Tag>Uni11</b:Tag>
    <b:SourceType>Misc</b:SourceType>
    <b:Guid>{EF5DD13B-49A1-4935-8476-7AA81339657C}</b:Guid>
    <b:Author>
      <b:Author>
        <b:Corporate>Universidad Autonóma de Nuevo León</b:Corporate>
      </b:Author>
    </b:Author>
    <b:Title>Visión 2020 UANL</b:Title>
    <b:Year>2011</b:Year>
    <b:Month>Octubre</b:Month>
    <b:RefOrder>3</b:RefOrder>
  </b:Source>
  <b:Source>
    <b:Tag>Fac14</b:Tag>
    <b:SourceType>Report</b:SourceType>
    <b:Guid>{61E145ED-90F8-452E-8FD5-501113808EC8}</b:Guid>
    <b:Author>
      <b:Author>
        <b:Corporate>Facultad de Ingeniería Mecánica y Eléctrica</b:Corporate>
      </b:Author>
    </b:Author>
    <b:Title>Proyecto FIME InnovarSER</b:Title>
    <b:Year>2014</b:Year>
    <b:Month>Abril</b:Month>
    <b:RefOrder>4</b:RefOrder>
  </b:Source>
  <b:Source>
    <b:Tag>Fac</b:Tag>
    <b:SourceType>InternetSite</b:SourceType>
    <b:Guid>{7FC561C9-308A-4965-87C2-3B8AD468B2D6}</b:Guid>
    <b:Title>FIME</b:Title>
    <b:Author>
      <b:Author>
        <b:Corporate>Facultad de Ingeniería Mecánica y Eléctrica</b:Corporate>
      </b:Author>
    </b:Author>
    <b:URL>http://www.fime.uanl.mx/responsabilidadsocial.html</b:URL>
    <b:RefOrder>5</b:RefOrder>
  </b:Source>
  <b:Source>
    <b:Tag>UAN11</b:Tag>
    <b:SourceType>Misc</b:SourceType>
    <b:Guid>{313DF1E8-8698-4E74-91BA-BE002F692F31}</b:Guid>
    <b:Title>Vision 2020</b:Title>
    <b:Year>2011</b:Year>
    <b:Author>
      <b:Author>
        <b:Corporate>UANL</b:Corporate>
      </b:Author>
    </b:Author>
    <b:City>San Nicolas de los Garza, Nuevo Leon</b:City>
    <b:Publisher>UANL</b:Publisher>
    <b:RefOrder>1</b:RefOrder>
  </b:Source>
  <b:Source>
    <b:Tag>FIM12</b:Tag>
    <b:SourceType>Misc</b:SourceType>
    <b:Guid>{C69A6F15-C5F2-4956-B5DB-6712F4174459}</b:Guid>
    <b:Author>
      <b:Author>
        <b:Corporate>FIME</b:Corporate>
      </b:Author>
    </b:Author>
    <b:Title>Plan de Desarrollo</b:Title>
    <b:Year>2012</b:Year>
    <b:City>San Nicolas de los Garza, Nuevo Leon</b:City>
    <b:Publisher>FIME, UANL</b:Publisher>
    <b:RefOrder>2</b:RefOrder>
  </b:Source>
  <b:Source>
    <b:Tag>Gre10</b:Tag>
    <b:SourceType>InternetSite</b:SourceType>
    <b:Guid>{10C9B346-A045-4809-AFF5-97D5A11415FB}</b:Guid>
    <b:Title>http://www.greenpeace.org/</b:Title>
    <b:Year>2010</b:Year>
    <b:Month>Noviembre</b:Month>
    <b:Day>25</b:Day>
    <b:Author>
      <b:Author>
        <b:Corporate>Greenpeace</b:Corporate>
      </b:Author>
    </b:Author>
    <b:URL>http://www.greenpeace.org/argentina/es/campanas/contaminacion/basura-electronica/Componentes-Toxicos/</b:URL>
    <b:RefOrder>3</b:RefOrder>
  </b:Source>
  <b:Source>
    <b:Tag>DrC12</b:Tag>
    <b:SourceType>Book</b:SourceType>
    <b:Guid>{B25D7F61-8245-4814-807B-1AF55DF1602F}</b:Guid>
    <b:Author>
      <b:Author>
        <b:NameList>
          <b:Person>
            <b:Last>Paine Schofield</b:Last>
            <b:First>Carina</b:First>
          </b:Person>
          <b:Person>
            <b:Last>West</b:Last>
            <b:First>Trudi</b:First>
          </b:Person>
          <b:Person>
            <b:Last>Tayl</b:Last>
            <b:First>Emily</b:First>
          </b:Person>
        </b:NameList>
      </b:Author>
    </b:Author>
    <b:Title>Going Mobile in Executive Education UNICON</b:Title>
    <b:Year>2012</b:Year>
    <b:City>United Kingdom</b:City>
    <b:Publisher>Ashridge</b:Publisher>
    <b:RefOrder>1</b:RefOrder>
  </b:Source>
  <b:Source>
    <b:Tag>SJH14</b:Tag>
    <b:SourceType>Book</b:SourceType>
    <b:Guid>{D2EBC2F9-F73E-45C9-81FD-B4C8C6D8989A}</b:Guid>
    <b:Author>
      <b:Author>
        <b:NameList>
          <b:Person>
            <b:Last>Robledo</b:Last>
          </b:Person>
          <b:Person>
            <b:Last>S</b:Last>
            <b:First>Jhoanna</b:First>
          </b:Person>
        </b:NameList>
      </b:Author>
    </b:Author>
    <b:Title>Mobile Devices for Learning, What you NEED to KNOW</b:Title>
    <b:Year>2014</b:Year>
    <b:Publisher>Google Apps for Education</b:Publisher>
    <b:RefOrder>2</b:RefOrder>
  </b:Source>
  <b:Source>
    <b:Tag>Reb13</b:Tag>
    <b:SourceType>Book</b:SourceType>
    <b:Guid>{C9D4AA21-BF85-46B3-9AA1-C91DE7D40F94}</b:Guid>
    <b:Author>
      <b:Author>
        <b:NameList>
          <b:Person>
            <b:Last>Kraut</b:Last>
            <b:First>Rebecca</b:First>
          </b:Person>
        </b:NameList>
      </b:Author>
    </b:Author>
    <b:Title>Policy guidelines for mobile learning</b:Title>
    <b:Year>2013</b:Year>
    <b:City>Francia</b:City>
    <b:Publisher>United Nations Educational, Scientific and Cultural Organization</b:Publisher>
    <b:RefOrder>3</b:RefOrder>
  </b:Source>
  <b:Source>
    <b:Tag>INE05</b:Tag>
    <b:SourceType>Book</b:SourceType>
    <b:Guid>{B452300D-1081-45A4-BDBE-380C72CBD18D}</b:Guid>
    <b:Author>
      <b:Author>
        <b:NameList>
          <b:Person>
            <b:Last>INEGI</b:Last>
          </b:Person>
        </b:NameList>
      </b:Author>
    </b:Author>
    <b:Title>Estadísticas de Educación. Estadísticas en educación básica, media superior y superior.</b:Title>
    <b:Year>2005</b:Year>
    <b:City>Aguascalientes</b:City>
    <b:RefOrder>4</b:RefOrder>
  </b:Source>
  <b:Source>
    <b:Tag>OCD10</b:Tag>
    <b:SourceType>Book</b:SourceType>
    <b:Guid>{E8740463-DB86-4F8A-9DF7-91AFD9199531}</b:Guid>
    <b:Author>
      <b:Author>
        <b:NameList>
          <b:Person>
            <b:Last>OCDE</b:Last>
          </b:Person>
        </b:NameList>
      </b:Author>
    </b:Author>
    <b:Title>Panorama de la Educación 2010. indicadores OCDE.</b:Title>
    <b:Year>2010</b:Year>
    <b:City>Madrid, España</b:City>
    <b:Publisher>Santillana</b:Publisher>
    <b:RefOrder>5</b:RefOrder>
  </b:Source>
  <b:Source>
    <b:Tag>Jos16</b:Tag>
    <b:SourceType>InternetSite</b:SourceType>
    <b:Guid>{9E12023E-C7C7-4603-B6EF-4CFA922CA858}</b:Guid>
    <b:Title>FILabs 1.12.6</b:Title>
    <b:Year>2016</b:Year>
    <b:Author>
      <b:Author>
        <b:NameList>
          <b:Person>
            <b:Last>Aguilar Canepa</b:Last>
            <b:First>José</b:First>
            <b:Middle>Carlos</b:Middle>
          </b:Person>
        </b:NameList>
      </b:Author>
    </b:Author>
    <b:Month>Julio</b:Month>
    <b:Day>22</b:Day>
    <b:URL>http://balam.uacam.mx/</b:URL>
    <b:InternetSiteTitle>Aplicación FILABS</b:InternetSiteTitle>
    <b:RefOrder>1</b:RefOrder>
  </b:Source>
  <b:Source>
    <b:Tag>Uni09</b:Tag>
    <b:SourceType>Book</b:SourceType>
    <b:Guid>{2BC89A01-58AB-44EF-A138-00BA20215B50}</b:Guid>
    <b:Title>Modelo Educativo Institucional de la Universidad Autónoma de Campeche</b:Title>
    <b:Year>2009</b:Year>
    <b:Author>
      <b:Author>
        <b:NameList>
          <b:Person>
            <b:Last>Campeche</b:Last>
            <b:First>Universidad</b:First>
            <b:Middle>Autónoma de</b:Middle>
          </b:Person>
        </b:NameList>
      </b:Author>
    </b:Author>
    <b:City>Campeche</b:City>
    <b:Publisher>UACAM</b:Publisher>
    <b:RefOrder>2</b:RefOrder>
  </b:Source>
  <b:Source>
    <b:Tag>Héc11</b:Tag>
    <b:SourceType>Book</b:SourceType>
    <b:Guid>{41E40BB9-FEAC-4D8D-8002-94CF51C3F1F8}</b:Guid>
    <b:LCID>en-US</b:LCID>
    <b:Title>Tesis Maestría: Diseño y Desarrollo de un curso en línea como apoyo didáctico en las actividades docentes,  implementado en la unidad de aprendizaje Lenguaje de Programación I (Caso Universidad Autonóma de Campeche)</b:Title>
    <b:Year>2011</b:Year>
    <b:Author>
      <b:Author>
        <b:NameList>
          <b:Person>
            <b:Last>Cosgaya</b:Last>
            <b:First>Héctor</b:First>
            <b:Middle>Quej</b:Middle>
          </b:Person>
        </b:NameList>
      </b:Author>
    </b:Author>
    <b:City>Ciudad Victoria Tamaulipas</b:City>
    <b:Publisher>Centro de Excelencia de la Universidad Autónoma de Tamaulipas</b:Publisher>
    <b:RefOrder>3</b:RefOrder>
  </b:Source>
  <b:Source>
    <b:Tag>Aso16</b:Tag>
    <b:SourceType>InternetSite</b:SourceType>
    <b:Guid>{40D1303A-4968-451F-847D-E6E4649BA5F5}</b:Guid>
    <b:Author>
      <b:Author>
        <b:NameList>
          <b:Person>
            <b:Last>Superior</b:Last>
            <b:First>Asociación</b:First>
            <b:Middle>Nacional de Universidades e Instituciones de Educación</b:Middle>
          </b:Person>
        </b:NameList>
      </b:Author>
    </b:Author>
    <b:Title>Promociona México a Instituciones de Educación Superior en NAFSA, EUA</b:Title>
    <b:Year>2016</b:Year>
    <b:Month>Junio</b:Month>
    <b:Day>6</b:Day>
    <b:URL>http://www.anuies.mx/noticias/promociona-mxico-a-instituciones-de-educacin-superior-en-nafsa-eua</b:URL>
    <b:RefOrder>4</b:RefOrder>
  </b:Source>
  <b:Source>
    <b:Tag>Uni08</b:Tag>
    <b:SourceType>Book</b:SourceType>
    <b:Guid>{D8FE5494-78E0-47AD-A91F-BC82D817AB4B}</b:Guid>
    <b:Author>
      <b:Author>
        <b:NameList>
          <b:Person>
            <b:Last>Campeche</b:Last>
            <b:First>Universidad</b:First>
            <b:Middle>Autónoma de</b:Middle>
          </b:Person>
        </b:NameList>
      </b:Author>
    </b:Author>
    <b:Title>Plan Institucional de Desarrollo 2008-2012</b:Title>
    <b:Year>2008</b:Year>
    <b:City>Campeche</b:City>
    <b:Publisher>UACAM</b:Publisher>
    <b:RefOrder>5</b:RefOrder>
  </b:Source>
  <b:Source>
    <b:Tag>Uni12</b:Tag>
    <b:SourceType>Book</b:SourceType>
    <b:Guid>{65505EDF-6901-46DB-BB64-F7E3EAD6D9BB}</b:Guid>
    <b:Author>
      <b:Author>
        <b:NameList>
          <b:Person>
            <b:Last>Campeche</b:Last>
            <b:First>Universidad</b:First>
            <b:Middle>Autónoma de</b:Middle>
          </b:Person>
        </b:NameList>
      </b:Author>
    </b:Author>
    <b:Title>Plan Institucional de Desarrollo 2013-2015</b:Title>
    <b:Year>2012</b:Year>
    <b:City>Campeche</b:City>
    <b:Publisher>UACAM</b:Publisher>
    <b:RefOrder>6</b:RefOrder>
  </b:Source>
  <b:Source>
    <b:Tag>Fri06</b:Tag>
    <b:SourceType>JournalArticle</b:SourceType>
    <b:Guid>{7F81E092-BBAE-4FD5-9C98-AD80C9F00632}</b:Guid>
    <b:Title>Principios de diseño instruccional de entornos de aprendizaje apoyados en TIC</b:Title>
    <b:Year>2006</b:Year>
    <b:Author>
      <b:Author>
        <b:NameList>
          <b:Person>
            <b:Last>Barriga</b:Last>
            <b:First>Frida</b:First>
            <b:Middle>Díaz</b:Middle>
          </b:Person>
        </b:NameList>
      </b:Author>
    </b:Author>
    <b:JournalName>Tecnología y Comunicación Educativas No. 41</b:JournalName>
    <b:Pages>http://investigacion.ilce.edu.mx/tyce/41/art1.pdf</b:Pages>
    <b:RefOrder>7</b:RefOrder>
  </b:Source>
  <b:Source>
    <b:Tag>See98</b:Tag>
    <b:SourceType>Book</b:SourceType>
    <b:Guid>{CB33DD03-DB5E-4C0C-8F58-2F226C0B7174}</b:Guid>
    <b:Author>
      <b:Author>
        <b:NameList>
          <b:Person>
            <b:Last>Seels</b:Last>
            <b:First>B.</b:First>
            <b:Middle>&amp; Glasgow, Z.</b:Middle>
          </b:Person>
        </b:NameList>
      </b:Author>
    </b:Author>
    <b:Title>Making Instructional Design Decisions.</b:Title>
    <b:Year>1998</b:Year>
    <b:City>NJ: Merrill.</b:City>
    <b:Publisher>Upper Saddle River</b:Publisher>
    <b:RefOrder>8</b:RefOrder>
  </b:Source>
  <b:Source>
    <b:Tag>Pla13</b:Tag>
    <b:SourceType>JournalArticle</b:SourceType>
    <b:Guid>{D7B2923B-1961-4E29-9168-69A696458FDA}</b:Guid>
    <b:Title>ACTIVIDADES DOCENTES EN MECATRÓNICA</b:Title>
    <b:Year>2013</b:Year>
    <b:Author>
      <b:Author>
        <b:NameList>
          <b:Person>
            <b:Last>Ponsa</b:Last>
            <b:First>Pere</b:First>
          </b:Person>
        </b:NameList>
      </b:Author>
    </b:Author>
    <b:JournalName>Departamento Enginyeria de Sistemes, Automática e Informática Industrial, ESAII</b:JournalName>
    <b:Institution>Universitat Politécnica de Catalunya</b:Institution>
    <b:RefOrder>9</b:RefOrder>
  </b:Source>
  <b:Source>
    <b:Tag>Llu06</b:Tag>
    <b:SourceType>JournalArticle</b:SourceType>
    <b:Guid>{E3D5D838-8338-4B69-A758-D842B3B2041A}</b:Guid>
    <b:Author>
      <b:Author>
        <b:NameList>
          <b:Person>
            <b:Last>Llu´ıs Molas</b:Last>
            <b:First>Coia</b:First>
            <b:Middle>Ferrater, Oriol Gomis</b:Middle>
          </b:Person>
        </b:NameList>
      </b:Author>
    </b:Author>
    <b:Title>Integracion internacional de plataformas de ensenanza a distancia de automatizaci ˜ on con PLCs </b:Title>
    <b:JournalName>IEEE-RITA</b:JournalName>
    <b:Year>2006</b:Year>
    <b:RefOrder>10</b:RefOrder>
  </b:Source>
  <b:Source>
    <b:Tag>Int16</b:Tag>
    <b:SourceType>InternetSite</b:SourceType>
    <b:Guid>{72CE6D00-3856-4F77-B706-A4055BC2FC2E}</b:Guid>
    <b:Author>
      <b:Author>
        <b:Corporate>Bureau Interactive Advertising</b:Corporate>
      </b:Author>
    </b:Author>
    <b:Title>iabmexico</b:Title>
    <b:Year>2016</b:Year>
    <b:Month>Marzo</b:Month>
    <b:Day>14</b:Day>
    <b:URL>http://www.iabmexico.com/estudios/consumo-medios-2016/</b:URL>
    <b:LCID>es-MX</b:LCID>
    <b:RefOrder>1</b:RefOrder>
  </b:Source>
  <b:Source>
    <b:Tag>Int15</b:Tag>
    <b:SourceType>InternetSite</b:SourceType>
    <b:Guid>{52839077-561E-48FA-A440-28D829DB3E7F}</b:Guid>
    <b:Author>
      <b:Author>
        <b:Corporate>International Data Corporation</b:Corporate>
      </b:Author>
    </b:Author>
    <b:Title>IDC Analyze the Future</b:Title>
    <b:Year>2015</b:Year>
    <b:Month>Febrero</b:Month>
    <b:Day>24</b:Day>
    <b:URL>http://www.idc.com/getdoc.jsp?containerId=prUS25450615</b:URL>
    <b:LCID>en-US</b:LCID>
    <b:RefOrder>2</b:RefOrder>
  </b:Source>
  <b:Source>
    <b:Tag>Sac12</b:Tag>
    <b:SourceType>BookSection</b:SourceType>
    <b:Guid>{E3AB27D9-D4DC-4D60-94BB-369A905B7F68}</b:Guid>
    <b:Title>Programación en Android</b:Title>
    <b:Year>2012</b:Year>
    <b:Author>
      <b:Author>
        <b:NameList>
          <b:Person>
            <b:Last>Sacristán</b:Last>
            <b:First>Clodaldo</b:First>
            <b:Middle>Robledo</b:Middle>
          </b:Person>
          <b:Person>
            <b:Last>Fernández</b:Last>
            <b:First>David</b:First>
            <b:Middle>Robledo</b:Middle>
          </b:Person>
        </b:NameList>
      </b:Author>
      <b:BookAuthor>
        <b:NameList>
          <b:Person>
            <b:Last>Sacristán</b:Last>
            <b:First>Clodaldo</b:First>
            <b:Middle>Robledo</b:Middle>
          </b:Person>
          <b:Person>
            <b:Last>Fernández</b:Last>
            <b:First>David</b:First>
            <b:Middle>Robledo</b:Middle>
          </b:Person>
        </b:NameList>
      </b:BookAuthor>
    </b:Author>
    <b:BookTitle>Programación en Android</b:BookTitle>
    <b:Pages>33-34</b:Pages>
    <b:City>España</b:City>
    <b:Publisher>Eula Mentor</b:Publisher>
    <b:RefOrder>3</b:RefOrder>
  </b:Source>
  <b:Source>
    <b:Tag>Gut15</b:Tag>
    <b:SourceType>DocumentFromInternetSite</b:SourceType>
    <b:Guid>{4AE3798C-674A-426B-8A7D-3F046D0450A2}</b:Guid>
    <b:Title>ANUIES</b:Title>
    <b:Year>2015</b:Year>
    <b:InternetSiteTitle>ANUIES</b:InternetSiteTitle>
    <b:URL>http://www.uacj.mx/ICB/RedCIB/PlaneacionEvaluacion/Planeacin/La%20Planeación%20de%20la%20Educación%20Superior.pdf</b:URL>
    <b:Author>
      <b:Author>
        <b:NameList>
          <b:Person>
            <b:Last>Gutiérrez</b:Last>
            <b:First>Arturo</b:First>
          </b:Person>
        </b:NameList>
      </b:Author>
    </b:Author>
    <b:RefOrder>1</b:RefOrder>
  </b:Source>
  <b:Source>
    <b:Tag>Ver12</b:Tag>
    <b:SourceType>DocumentFromInternetSite</b:SourceType>
    <b:Guid>{48453AAD-5019-4D11-ADED-4FCF9ECFE046}</b:Guid>
    <b:Title>Instituto Tecnológico de la Paz</b:Title>
    <b:InternetSiteTitle>Plan estratégico para el centro de actualización profesional e idiomas del instituto tecnológico de la paz</b:InternetSiteTitle>
    <b:Year>2012</b:Year>
    <b:Month>mayo</b:Month>
    <b:URL>http://posgrado.itlp.edu.mx/uploads/55f07b7f9f662.pdf</b:URL>
    <b:Author>
      <b:Author>
        <b:NameList>
          <b:Person>
            <b:Last>Vergara</b:Last>
            <b:Middle>Olivia</b:Middle>
            <b:First>María</b:First>
          </b:Person>
        </b:NameList>
      </b:Author>
    </b:Author>
    <b:RefOrder>2</b:RefOrder>
  </b:Source>
  <b:Source>
    <b:Tag>Gru99</b:Tag>
    <b:SourceType>ElectronicSource</b:SourceType>
    <b:Guid>{54EC7A4E-5FC2-4E40-81A4-68D14D2CFF0C}</b:Guid>
    <b:Title>La Planeación Estratégica como herramienta para la modernización del Servicio Publico Municipal</b:Title>
    <b:Year>1999</b:Year>
    <b:Month>diciembre</b:Month>
    <b:City>San Nicolás de los Garza</b:City>
    <b:StateProvince>Nuevo León</b:StateProvince>
    <b:Author>
      <b:Author>
        <b:NameList>
          <b:Person>
            <b:Last>Gruintal</b:Last>
            <b:Middle>Cristina</b:Middle>
            <b:First>María</b:First>
          </b:Person>
        </b:NameList>
      </b:Author>
    </b:Author>
    <b:RefOrder>3</b:RefOrder>
  </b:Source>
  <b:Source>
    <b:Tag>Alo10</b:Tag>
    <b:SourceType>ElectronicSource</b:SourceType>
    <b:Guid>{ABE87214-35F5-4A15-8088-65D149197354}</b:Guid>
    <b:Title>La evaluación y acreditación en las instrituciones de educación superior mexicanas</b:Title>
    <b:StateProvince>Campeche</b:StateProvince>
    <b:CountryRegion>México</b:CountryRegion>
    <b:Year>2010</b:Year>
    <b:Author>
      <b:Author>
        <b:NameList>
          <b:Person>
            <b:Last>Alonzo</b:Last>
            <b:Middle>Lizbeth</b:Middle>
            <b:First>Diana</b:First>
          </b:Person>
          <b:Person>
            <b:Last>Bolaños</b:Last>
            <b:Middle>Alfonso</b:Middle>
            <b:First>Luis</b:First>
          </b:Person>
          <b:Person>
            <b:Last>Gómez</b:Last>
            <b:First>Ricardo</b:First>
          </b:Person>
        </b:NameList>
      </b:Author>
    </b:Author>
    <b:RefOrder>4</b:RefOrder>
  </b:Source>
  <b:Source>
    <b:Tag>Rod07</b:Tag>
    <b:SourceType>JournalArticle</b:SourceType>
    <b:Guid>{EC2E688B-2714-4AE9-A591-7334BBCDA43E}</b:Guid>
    <b:Title>La acreditación de los programas educativos, ¿eleva la calidad de educación?</b:Title>
    <b:Year>2007</b:Year>
    <b:JournalName>Iberoamericana de Producción Académica y Gestión Educativa</b:JournalName>
    <b:Pages>1-13</b:Pages>
    <b:Author>
      <b:Author>
        <b:NameList>
          <b:Person>
            <b:Last>Rodríguez</b:Last>
            <b:First>Ivonne</b:First>
          </b:Person>
        </b:NameList>
      </b:Author>
    </b:Author>
    <b:RefOrder>5</b:RefOrder>
  </b:Source>
  <b:Source>
    <b:Tag>Pal10</b:Tag>
    <b:SourceType>JournalArticle</b:SourceType>
    <b:Guid>{48A8D590-B8CF-4F94-AC32-265E5A97D39B}</b:Guid>
    <b:Title>Calidad, Evaluación y Acreditación en México</b:Title>
    <b:Year>2010</b:Year>
    <b:URL>http://cvonline.uaeh.edu.mx/Cursos/Maestria/MGIEMV/GestionCalidadEV13/materiales/Unidad%203/Lec4_CalidadEvalAcred_U3_MGIEV001.pdf</b:URL>
    <b:Author>
      <b:Author>
        <b:NameList>
          <b:Person>
            <b:Last>Pallán</b:Last>
            <b:First>Carlos</b:First>
          </b:Person>
        </b:NameList>
      </b:Author>
    </b:Author>
    <b:JournalName>CIDUI</b:JournalName>
    <b:RefOrder>6</b:RefOrder>
  </b:Source>
  <b:Source>
    <b:Tag>Lóp11</b:Tag>
    <b:SourceType>ArticleInAPeriodical</b:SourceType>
    <b:Guid>{E235556C-77D8-4791-9978-B4C3302D3D03}</b:Guid>
    <b:Title>Busca el ITLP la certificación de CACEI</b:Title>
    <b:Year>2011</b:Year>
    <b:PeriodicalTitle>El Sol de Zamora</b:PeriodicalTitle>
    <b:Month>noviembre</b:Month>
    <b:Day>16</b:Day>
    <b:Author>
      <b:Author>
        <b:NameList>
          <b:Person>
            <b:Last>López</b:Last>
            <b:First>Ernesto</b:First>
          </b:Person>
        </b:NameList>
      </b:Author>
    </b:Author>
    <b:RefOrder>7</b:RefOrder>
  </b:Source>
  <b:Source>
    <b:Tag>Mar82</b:Tag>
    <b:SourceType>DocumentFromInternetSite</b:SourceType>
    <b:Guid>{C5D4A5A5-AE22-437D-8C14-79323A9AACC5}</b:Guid>
    <b:Title>ANUIES</b:Title>
    <b:Year>1982</b:Year>
    <b:InternetSiteTitle>Planeación de la Educación Superior en México 1968-1982</b:InternetSiteTitle>
    <b:URL>http://publicaciones.anuies.mx/acervo/revsup/res045/txt2.htm</b:URL>
    <b:Author>
      <b:Author>
        <b:NameList>
          <b:Person>
            <b:Last>Martinez</b:Last>
            <b:First>Felipe</b:First>
          </b:Person>
        </b:NameList>
      </b:Author>
    </b:Author>
    <b:RefOrder>8</b:RefOrder>
  </b:Source>
  <b:Source>
    <b:Tag>Núñ11</b:Tag>
    <b:SourceType>InternetSite</b:SourceType>
    <b:Guid>{9D37323B-CCAC-4CCF-B1D4-10B6D03E0E0E}</b:Guid>
    <b:Title>Andrés Núñez pasión por la Educación Superior</b:Title>
    <b:Year>2011</b:Year>
    <b:Month>abril</b:Month>
    <b:Day>11</b:Day>
    <b:URL>https://andresnunez.wordpress.com/2011/04/11/importancia-de-la-planeacion-universitaria/</b:URL>
    <b:Author>
      <b:Author>
        <b:NameList>
          <b:Person>
            <b:Last>Núñez</b:Last>
            <b:First>Andrés</b:First>
          </b:Person>
        </b:NameList>
      </b:Author>
    </b:Author>
    <b:RefOrder>9</b:RefOrder>
  </b:Source>
  <b:Source>
    <b:Tag>Chi00</b:Tag>
    <b:SourceType>BookSection</b:SourceType>
    <b:Guid>{76B1E292-4C2D-4E7F-8D85-D2E8855C4F24}</b:Guid>
    <b:Title>Introducción a la Teoría General de la Administración</b:Title>
    <b:Year>2000</b:Year>
    <b:BookTitle>Introducción a la Teoría General de la Administración</b:BookTitle>
    <b:Pages>7</b:Pages>
    <b:City>México</b:City>
    <b:Publisher>Mc. Graw Hill</b:Publisher>
    <b:Author>
      <b:Author>
        <b:NameList>
          <b:Person>
            <b:Last>Chiavenato</b:Last>
            <b:First>Idalberto</b:First>
          </b:Person>
        </b:NameList>
      </b:Author>
      <b:BookAuthor>
        <b:NameList>
          <b:Person>
            <b:Last>Chiavenato</b:Last>
            <b:First>Idalberto</b:First>
          </b:Person>
        </b:NameList>
      </b:BookAuthor>
    </b:Author>
    <b:RefOrder>10</b:RefOrder>
  </b:Source>
  <b:Source>
    <b:Tag>Agu11</b:Tag>
    <b:SourceType>JournalArticle</b:SourceType>
    <b:Guid>{D09622D9-7F73-4A1C-9C76-91D0DDD2B1FB}</b:Guid>
    <b:Title>La Planificación estratégica como herramienta para el desarrollo y consolidación de las IES</b:Title>
    <b:JournalName>COEPES</b:JournalName>
    <b:Year>2011</b:Year>
    <b:Author>
      <b:Author>
        <b:NameList>
          <b:Person>
            <b:Last>Aguilar</b:Last>
            <b:First>Martha</b:First>
          </b:Person>
          <b:Person>
            <b:Last>Mendoza</b:Last>
            <b:Middle>Moisés</b:Middle>
            <b:First>Francisco</b:First>
          </b:Person>
        </b:NameList>
      </b:Author>
    </b:Author>
    <b:RefOrder>11</b:RefOrder>
  </b:Source>
  <b:Source>
    <b:Tag>Esp16</b:Tag>
    <b:SourceType>ElectronicSource</b:SourceType>
    <b:Guid>{98A08A1E-C54E-4F21-9476-3F3180F109FF}</b:Guid>
    <b:Title>La Certificación en la Profesionalización Docente</b:Title>
    <b:StateProvince>Querétaro</b:StateProvince>
    <b:CountryRegion>México</b:CountryRegion>
    <b:Year>2016</b:Year>
    <b:Author>
      <b:Author>
        <b:NameList>
          <b:Person>
            <b:Last>Espinoza</b:Last>
            <b:Middle>Luis</b:Middle>
            <b:First>José</b:First>
          </b:Person>
        </b:NameList>
      </b:Author>
    </b:Author>
    <b:RefOrder>12</b:RefOrder>
  </b:Source>
  <b:Source>
    <b:Tag>Jim13</b:Tag>
    <b:SourceType>JournalArticle</b:SourceType>
    <b:Guid>{FA4DE0EF-3CCE-4116-A71A-7A5F2EDF0DBB}</b:Guid>
    <b:Title>Beneficios de la certificación y acreditación en la educación</b:Title>
    <b:Year>2013</b:Year>
    <b:Author>
      <b:Author>
        <b:NameList>
          <b:Person>
            <b:Last>Jiménez</b:Last>
            <b:First>Daniel</b:First>
          </b:Person>
        </b:NameList>
      </b:Author>
    </b:Author>
    <b:JournalName>COEPES</b:JournalName>
    <b:RefOrder>13</b:RefOrder>
  </b:Source>
  <b:Source>
    <b:Tag>PRO15</b:Tag>
    <b:SourceType>DocumentFromInternetSite</b:SourceType>
    <b:Guid>{1A51AA64-69AC-425B-9BBF-BE99F22C775D}</b:Guid>
    <b:Author>
      <b:Author>
        <b:Corporate>PRODEP</b:Corporate>
      </b:Author>
    </b:Author>
    <b:Title>Programa para el Desarrollo Profesional Docente</b:Title>
    <b:Year>2015</b:Year>
    <b:Month>diciembre</b:Month>
    <b:Day>31</b:Day>
    <b:URL>http://cgut.sep.gob.mx/2016/PFCE/DOF-LEYSSEP-111.pdf</b:URL>
    <b:RefOrder>1</b:RefOrder>
  </b:Source>
  <b:Source>
    <b:Tag>Gar14</b:Tag>
    <b:SourceType>JournalArticle</b:SourceType>
    <b:Guid>{1CAC1B81-5F8C-41F8-8DA7-30A1785A5F53}</b:Guid>
    <b:Title>Estudiantes universitarios con bajo rendimiento académico, ¿qué hacer?</b:Title>
    <b:JournalName>Revista EDUMECENTRO</b:JournalName>
    <b:Year>2014</b:Year>
    <b:Pages>272-273</b:Pages>
    <b:Author>
      <b:Author>
        <b:NameList>
          <b:Person>
            <b:Last>García</b:Last>
            <b:First>Yaritza</b:First>
          </b:Person>
          <b:Person>
            <b:Last>López</b:Last>
            <b:First>Daimaris</b:First>
          </b:Person>
          <b:Person>
            <b:Last>Rivero</b:Last>
            <b:First>Orestes</b:First>
          </b:Person>
        </b:NameList>
      </b:Author>
    </b:Author>
    <b:RefOrder>2</b:RefOrder>
  </b:Source>
  <b:Source>
    <b:Tag>Arn06</b:Tag>
    <b:SourceType>JournalArticle</b:SourceType>
    <b:Guid>{8B5051CD-98F8-4337-ADA8-CBFEC15AD349}</b:Guid>
    <b:Title>La función de apoyo técnico-pedagógico. Su relación con la superación y la formación continua.</b:Title>
    <b:JournalName>SEP-OEI</b:JournalName>
    <b:Year>2006</b:Year>
    <b:Pages>15-17</b:Pages>
    <b:Author>
      <b:Author>
        <b:NameList>
          <b:Person>
            <b:Last>Arnaut</b:Last>
            <b:First>Alberto</b:First>
          </b:Person>
        </b:NameList>
      </b:Author>
    </b:Author>
    <b:RefOrder>3</b:RefOrder>
  </b:Source>
  <b:Source>
    <b:Tag>Uni01</b:Tag>
    <b:SourceType>JournalArticle</b:SourceType>
    <b:Guid>{37D62DC0-E4FF-4582-A4A0-B8793EEEBC2F}</b:Guid>
    <b:Title>Manual de Implantación de las Asesorías Académicas en la Universidad de Zulia</b:Title>
    <b:JournalName>Revista Científica Electrónica de Ciencias Humanas</b:JournalName>
    <b:Year>1986-2001</b:Year>
    <b:Pages>68-84</b:Pages>
    <b:Author>
      <b:Author>
        <b:Corporate>Universidad del Zulia</b:Corporate>
      </b:Author>
    </b:Author>
    <b:City>Maracaibo</b:City>
    <b:CountryRegion>Venezuela</b:CountryRegion>
    <b:RefOrder>4</b:RefOrder>
  </b:Source>
  <b:Source>
    <b:Tag>Ter09</b:Tag>
    <b:SourceType>InternetSite</b:SourceType>
    <b:Guid>{217E1A59-4FB0-4344-998D-EA3B3730B307}</b:Guid>
    <b:Author>
      <b:Author>
        <b:NameList>
          <b:Person>
            <b:Last>Terrones</b:Last>
            <b:First>Eudoro</b:First>
          </b:Person>
        </b:NameList>
      </b:Author>
    </b:Author>
    <b:Title>El excelente estudiante universitario</b:Title>
    <b:Year>2009</b:Year>
    <b:Month>Marzo</b:Month>
    <b:Day>09</b:Day>
    <b:YearAccessed>2015</b:YearAccessed>
    <b:MonthAccessed>Marzo</b:MonthAccessed>
    <b:DayAccessed>4</b:DayAccessed>
    <b:URL>http://eudoroterrones.blogspot.mx/2009/03/el-excelente-estudiante-universitario.html</b:URL>
    <b:RefOrder>5</b:RefOrder>
  </b:Source>
  <b:Source>
    <b:Tag>Fun051</b:Tag>
    <b:SourceType>InternetSite</b:SourceType>
    <b:Guid>{C87F7EFD-2ADB-40D1-BE02-A5A71EF6734C}</b:Guid>
    <b:Author>
      <b:Author>
        <b:Corporate>Fundacion Educacion Medica</b:Corporate>
      </b:Author>
    </b:Author>
    <b:Title>Educacion Medica</b:Title>
    <b:Year>2005</b:Year>
    <b:Month>Junio</b:Month>
    <b:URL>http://scielo.isciii.es/scielo.php?script=sci_arttext&amp;pid=S1575-18132005000200005</b:URL>
    <b:RefOrder>6</b:RefOrder>
  </b:Source>
  <b:Source>
    <b:Tag>Con</b:Tag>
    <b:SourceType>InternetSite</b:SourceType>
    <b:Guid>{2C90F743-F649-4855-B2EE-90AAE55F7E54}</b:Guid>
    <b:Author>
      <b:Author>
        <b:NameList>
          <b:Person>
            <b:Last>Consejo de Acreditación de la Enseñanza de la Ingeniería</b:Last>
            <b:First>A.C</b:First>
          </b:Person>
        </b:NameList>
      </b:Author>
    </b:Author>
    <b:Title>CACEI</b:Title>
    <b:InternetSiteTitle>Consejo de Acreditación de la Enseñanza de la Ingeniería, A.C</b:InternetSiteTitle>
    <b:URL>http://www.cacei.com.mx/nvfs/nvfs01/nvfs0101.php</b:URL>
    <b:RefOrder>1</b:RefOrder>
  </b:Source>
  <b:Source>
    <b:Tag>POP09</b:Tag>
    <b:SourceType>DocumentFromInternetSite</b:SourceType>
    <b:Guid>{2FEA4A13-437B-451B-AB3E-AACCD866D22A}</b:Guid>
    <b:Title>CORE</b:Title>
    <b:Year>2009</b:Year>
    <b:Month>02</b:Month>
    <b:Day>01</b:Day>
    <b:InternetSiteTitle>Economia. Seria Management</b:InternetSiteTitle>
    <b:URL>https://core.ac.uk/download/pdf/6326658.pdf</b:URL>
    <b:Author>
      <b:Author>
        <b:NameList>
          <b:Person>
            <b:Last>POPESCU Delia</b:Last>
            <b:First>Ph.D</b:First>
          </b:Person>
        </b:NameList>
      </b:Author>
    </b:Author>
    <b:RefOrder>1</b:RefOrder>
  </b:Source>
  <b:Source>
    <b:Tag>Var16</b:Tag>
    <b:SourceType>DocumentFromInternetSite</b:SourceType>
    <b:Guid>{20FBFC9F-4B15-45D8-A41D-0DC063894B39}</b:Guid>
    <b:Author>
      <b:Author>
        <b:NameList>
          <b:Person>
            <b:Last>Varios</b:Last>
          </b:Person>
        </b:NameList>
      </b:Author>
    </b:Author>
    <b:Title>Wikipedia</b:Title>
    <b:Year>2016</b:Year>
    <b:Month>09</b:Month>
    <b:Day>17</b:Day>
    <b:URL>https://es.wikipedia.org/wiki/Phil_Crosby</b:URL>
    <b:RefOrder>2</b:RefOrder>
  </b:Source>
  <b:Source>
    <b:Tag>Dra16</b:Tag>
    <b:SourceType>ElectronicSource</b:SourceType>
    <b:Guid>{01E3560F-A751-4C41-A5B7-246BD204CA78}</b:Guid>
    <b:Title>Gurús de la Calidad 2 (Aprobada)</b:Title>
    <b:Year>2016</b:Year>
    <b:Month>Septiembre</b:Month>
    <b:Day>01</b:Day>
    <b:Author>
      <b:Author>
        <b:NameList>
          <b:Person>
            <b:Last>Dimas</b:Last>
            <b:First>Dra.</b:First>
            <b:Middle>María Isabel</b:Middle>
          </b:Person>
        </b:NameList>
      </b:Author>
    </b:Author>
    <b:City>San Nicolas de los Garza</b:City>
    <b:StateProvince>Nuevo León</b:StateProvince>
    <b:CountryRegion>Mexico</b:CountryRegion>
    <b:RefOrder>3</b:RefOrder>
  </b:Source>
  <b:Source>
    <b:Tag>MBe06</b:Tag>
    <b:SourceType>InternetSite</b:SourceType>
    <b:Guid>{ADA032D3-3F89-4F61-87E8-1F5691F6809B}</b:Guid>
    <b:Title>US National Library of Medicine National Institutes of Health</b:Title>
    <b:Year>2006</b:Year>
    <b:Author>
      <b:Author>
        <b:NameList>
          <b:Person>
            <b:Last>Neuhauser</b:Last>
            <b:First>M</b:First>
            <b:Middle>Best and D</b:Middle>
          </b:Person>
        </b:NameList>
      </b:Author>
    </b:Author>
    <b:InternetSiteTitle>Quality and Safety in Healthcare</b:InternetSiteTitle>
    <b:Month>Abril</b:Month>
    <b:Day>15</b:Day>
    <b:URL>http://www.ncbi.nlm.nih.gov/pmc/articles/PMC2464836/</b:URL>
    <b:RefOrder>4</b:RefOrder>
  </b:Source>
  <b:Source>
    <b:Tag>Pab09</b:Tag>
    <b:SourceType>InternetSite</b:SourceType>
    <b:Guid>{A3EF3FBB-862D-4FF3-BA72-7410F0ACFE49}</b:Guid>
    <b:Author>
      <b:Author>
        <b:NameList>
          <b:Person>
            <b:Last>Giugni</b:Last>
            <b:First>Pablo</b:First>
          </b:Person>
        </b:NameList>
      </b:Author>
    </b:Author>
    <b:Title>Pablo Giugni</b:Title>
    <b:InternetSiteTitle>La Calidad Como Folosofía de Gestión</b:InternetSiteTitle>
    <b:Year>2009</b:Year>
    <b:Month>febrero</b:Month>
    <b:Day>6</b:Day>
    <b:URL>http://www.pablogiugni.com.ar/httpwwwpablogiugnicomarp91/</b:URL>
    <b:RefOrder>5</b:RefOrder>
  </b:Source>
  <b:Source>
    <b:Tag>UNA08</b:Tag>
    <b:SourceType>InternetSite</b:SourceType>
    <b:Guid>{9DEA9ABE-EFC1-498D-9DE1-AF3D9FF5485E}</b:Guid>
    <b:Author>
      <b:Author>
        <b:NameList>
          <b:Person>
            <b:Last>UNAM</b:Last>
          </b:Person>
        </b:NameList>
      </b:Author>
    </b:Author>
    <b:Title>Ingeniería UANM</b:Title>
    <b:InternetSiteTitle>Armand Fiegenbaum</b:InternetSiteTitle>
    <b:Year>2008</b:Year>
    <b:Month>enero</b:Month>
    <b:Day>01</b:Day>
    <b:URL>http://www.ingenieria.unam.mx/industriales/carrera_historia_feigenbaum.html</b:URL>
    <b:RefOrder>6</b:RefOrder>
  </b:Source>
  <b:Source>
    <b:Tag>Pab091</b:Tag>
    <b:SourceType>InternetSite</b:SourceType>
    <b:Guid>{7FBF511A-DCCF-4ED2-9A06-20A3F109DF4E}</b:Guid>
    <b:Author>
      <b:Author>
        <b:NameList>
          <b:Person>
            <b:Last>Giugni</b:Last>
            <b:First>Pablo</b:First>
          </b:Person>
        </b:NameList>
      </b:Author>
    </b:Author>
    <b:Title>Pablo Giugni</b:Title>
    <b:InternetSiteTitle>La Calidad como Filosofóa de Gestión</b:InternetSiteTitle>
    <b:Year>2009</b:Year>
    <b:Month>febrero</b:Month>
    <b:Day>06</b:Day>
    <b:URL>http://www.pablogiugni.com.ar/httpwwwpablogiugnicomarp101/</b:URL>
    <b:RefOrder>7</b:RefOrder>
  </b:Source>
  <b:Source>
    <b:Tag>Car12</b:Tag>
    <b:SourceType>DocumentFromInternetSite</b:SourceType>
    <b:Guid>{012C16B7-8A12-4A8A-AC6F-7F9191D61DF2}</b:Guid>
    <b:Author>
      <b:Author>
        <b:NameList>
          <b:Person>
            <b:Last>Carranza</b:Last>
            <b:First>Yuliana</b:First>
            <b:Middle>Morales</b:Middle>
          </b:Person>
        </b:NameList>
      </b:Author>
    </b:Author>
    <b:Title>PRECURSORES DE LA CALIDAD.wmv</b:Title>
    <b:Year>2012</b:Year>
    <b:Month>Junio</b:Month>
    <b:Day>04</b:Day>
    <b:InternetSiteTitle>You Tube</b:InternetSiteTitle>
    <b:URL>https://www.youtube.com/watch?v=n2tFp5HCuW4</b:URL>
    <b:RefOrder>8</b:RefOrder>
  </b:Source>
  <b:Source>
    <b:Tag>Bau16</b:Tag>
    <b:SourceType>Misc</b:SourceType>
    <b:Guid>{0B892B1E-C9B9-420D-B5AF-9C8685759A62}</b:Guid>
    <b:Title>G. S &amp; G Supply S.A. de C.V.</b:Title>
    <b:Year>2016</b:Year>
    <b:Month>septiembre</b:Month>
    <b:Day>01</b:Day>
    <b:City>Monterrey</b:City>
    <b:Author>
      <b:Author>
        <b:NameList>
          <b:Person>
            <b:Last>Guerra</b:Last>
            <b:First>Baudel</b:First>
          </b:Person>
        </b:NameList>
      </b:Author>
    </b:Author>
    <b:PublicationTitle>Demoras en Labor - BMG</b:PublicationTitle>
    <b:StateProvince>Nuevo Leon</b:StateProvince>
    <b:CountryRegion>Mexico</b:CountryRegion>
    <b:RefOrder>1</b:RefOrder>
  </b:Source>
  <b:Source>
    <b:Tag>Bau161</b:Tag>
    <b:SourceType>Misc</b:SourceType>
    <b:Guid>{E152223D-C2A8-4F18-9885-41225815C77B}</b:Guid>
    <b:Author>
      <b:Author>
        <b:NameList>
          <b:Person>
            <b:Last>Guerra</b:Last>
            <b:First>Baudel</b:First>
          </b:Person>
        </b:NameList>
      </b:Author>
    </b:Author>
    <b:Title>G. S &amp; G Supply S.A. de C.V.</b:Title>
    <b:PublicationTitle>Datos Empresariales</b:PublicationTitle>
    <b:Year>2016</b:Year>
    <b:Month>septiembre</b:Month>
    <b:Day>01</b:Day>
    <b:City>Monterrey</b:City>
    <b:StateProvince>Nuevo Leon</b:StateProvince>
    <b:CountryRegion>Mexico</b:CountryRegion>
    <b:RefOrder>2</b:RefOrder>
  </b:Source>
  <b:Source>
    <b:Tag>Rea16</b:Tag>
    <b:SourceType>InternetSite</b:SourceType>
    <b:Guid>{7818C7B2-835C-4C65-A9F1-8DA42F1F6E5E}</b:Guid>
    <b:Title>Real Academia Española</b:Title>
    <b:Year>2016</b:Year>
    <b:Month>10</b:Month>
    <b:Day>07</b:Day>
    <b:Author>
      <b:Author>
        <b:NameList>
          <b:Person>
            <b:Last>Española</b:Last>
            <b:First>Real</b:First>
            <b:Middle>Academia</b:Middle>
          </b:Person>
        </b:NameList>
      </b:Author>
    </b:Author>
    <b:InternetSiteTitle>Velocidad</b:InternetSiteTitle>
    <b:URL>http://dle.rae.es/?id=bUyWG7T</b:URL>
    <b:RefOrder>3</b:RefOrder>
  </b:Source>
  <b:Source>
    <b:Tag>Rea161</b:Tag>
    <b:SourceType>InternetSite</b:SourceType>
    <b:Guid>{10B56EAB-7A84-47CC-B7BF-6ED011168937}</b:Guid>
    <b:Author>
      <b:Author>
        <b:NameList>
          <b:Person>
            <b:Last>Española</b:Last>
            <b:First>Real</b:First>
            <b:Middle>Academia</b:Middle>
          </b:Person>
        </b:NameList>
      </b:Author>
    </b:Author>
    <b:Title>Real Academia Española</b:Title>
    <b:InternetSiteTitle>Desempeñar</b:InternetSiteTitle>
    <b:Year>2016</b:Year>
    <b:Month>10</b:Month>
    <b:Day>07</b:Day>
    <b:URL>http://dle.rae.es/?id=CqRHucK</b:URL>
    <b:RefOrder>4</b:RefOrder>
  </b:Source>
  <b:Source>
    <b:Tag>Rea162</b:Tag>
    <b:SourceType>InternetSite</b:SourceType>
    <b:Guid>{AE28A52D-4387-4AE7-8A98-9D9A34EAA8DE}</b:Guid>
    <b:Author>
      <b:Author>
        <b:NameList>
          <b:Person>
            <b:Last>Española</b:Last>
            <b:First>Real</b:First>
            <b:Middle>Academia</b:Middle>
          </b:Person>
        </b:NameList>
      </b:Author>
    </b:Author>
    <b:Title>Real Academia Española</b:Title>
    <b:InternetSiteTitle>Computador Electrónico</b:InternetSiteTitle>
    <b:Year>2016</b:Year>
    <b:Month>10</b:Month>
    <b:Day>07</b:Day>
    <b:URL>http://dle.rae.es/?id=A4hIGQC#GBoKbJe</b:URL>
    <b:RefOrder>5</b:RefOrder>
  </b:Source>
  <b:Source>
    <b:Tag>Arc96</b:Tag>
    <b:SourceType>Book</b:SourceType>
    <b:Guid>{16615553-3AD0-43FF-BEA9-C76198227EDB}</b:Guid>
    <b:Title>Tesauro en Filosofía de la Educación</b:Title>
    <b:Year>1996</b:Year>
    <b:City>Buenos Aires</b:City>
    <b:Publisher>Ciafic Ediciones</b:Publisher>
    <b:Author>
      <b:Author>
        <b:NameList>
          <b:Person>
            <b:Last>Archideo </b:Last>
            <b:First>Lila</b:First>
          </b:Person>
          <b:Person>
            <b:Last>Vazquez</b:Last>
            <b:First>Stella</b:First>
          </b:Person>
          <b:Person>
            <b:Last>Difabio</b:Last>
            <b:First>Hilda</b:First>
          </b:Person>
        </b:NameList>
      </b:Author>
    </b:Author>
    <b:RefOrder>1</b:RefOrder>
  </b:Source>
  <b:Source>
    <b:Tag>Car14</b:Tag>
    <b:SourceType>Book</b:SourceType>
    <b:Guid>{0A9354B2-6D1D-4282-A53D-B44373CAB11C}</b:Guid>
    <b:Title>El proceso de investigación</b:Title>
    <b:Year>2014</b:Year>
    <b:Author>
      <b:Author>
        <b:NameList>
          <b:Person>
            <b:Last>Sabino</b:Last>
            <b:First>Carlos</b:First>
          </b:Person>
        </b:NameList>
      </b:Author>
    </b:Author>
    <b:City>Guatemala</b:City>
    <b:Publisher>Episteme</b:Publisher>
    <b:RefOrder>2</b:RefOrder>
  </b:Source>
  <b:Source>
    <b:Tag>Mer17</b:Tag>
    <b:SourceType>JournalArticle</b:SourceType>
    <b:Guid>{884654FB-D58E-4BC8-9BB2-4FFC168BBCC9}</b:Guid>
    <b:Title>Asesoría académica: un recurso para los estudiantes que presentan el examen extraordinario de microbiología y parasitología</b:Title>
    <b:JournalName>Investigación en Educación Médica</b:JournalName>
    <b:Year>2017</b:Year>
    <b:Author>
      <b:Author>
        <b:NameList>
          <b:Person>
            <b:Last>Meraz-Rios</b:Last>
            <b:First>Beatriz</b:First>
          </b:Person>
          <b:Person>
            <b:Last>García-Yañez</b:Last>
            <b:Middle>Yolanda</b:Middle>
            <b:First>María </b:First>
          </b:Person>
          <b:Person>
            <b:Last>Candil-Ruíz</b:Last>
            <b:First>Aurora</b:First>
          </b:Person>
          <b:Person>
            <b:Last>García-González</b:Last>
            <b:First>Rafael</b:First>
          </b:Person>
        </b:NameList>
      </b:Author>
    </b:Author>
    <b:RefOrder>3</b:RefOrder>
  </b:Source>
  <b:Source>
    <b:Tag>MarcadorDePosición1</b:Tag>
    <b:SourceType>InternetSite</b:SourceType>
    <b:Guid>{A0D76E29-9EEB-4B5F-9759-67940254C84D}</b:Guid>
    <b:Title>Política de Calidad</b:Title>
    <b:Year>2012</b:Year>
    <b:Author>
      <b:Author>
        <b:NameList>
          <b:Person>
            <b:Last>FIME</b:Last>
          </b:Person>
        </b:NameList>
      </b:Author>
    </b:Author>
    <b:InternetSiteTitle>Facultad de Ingeniería Mecánica y Eléctrica</b:InternetSiteTitle>
    <b:Month>Diciembre</b:Month>
    <b:Day>17</b:Day>
    <b:URL>http://www.fime.uanl.mx/politicas_calidad.php</b:URL>
    <b:RefOrder>4</b:RefOrder>
  </b:Source>
  <b:Source>
    <b:Tag>RAE17</b:Tag>
    <b:SourceType>InternetSite</b:SourceType>
    <b:Guid>{CA2B30B3-1DF4-48D7-9320-821AF1075653}</b:Guid>
    <b:Author>
      <b:Author>
        <b:NameList>
          <b:Person>
            <b:Last>RAE</b:Last>
          </b:Person>
        </b:NameList>
      </b:Author>
    </b:Author>
    <b:Title>Diccionario de la Lengua Española</b:Title>
    <b:InternetSiteTitle>Real Academia Española </b:InternetSiteTitle>
    <b:Year>2017</b:Year>
    <b:URL>http://dle.rae.es</b:URL>
    <b:RefOrder>5</b:RefOrder>
  </b:Source>
  <b:Source>
    <b:Tag>Her14</b:Tag>
    <b:SourceType>Book</b:SourceType>
    <b:Guid>{E0A1A29B-75F8-43F6-860F-2DE217142E12}</b:Guid>
    <b:Title>Metodología de la Investigación</b:Title>
    <b:Year>2014</b:Year>
    <b:Author>
      <b:Author>
        <b:NameList>
          <b:Person>
            <b:Last>Hernández Sampieri</b:Last>
            <b:First>Roberto</b:First>
          </b:Person>
          <b:Person>
            <b:Last>Fernández Collado</b:Last>
            <b:First>Carlos</b:First>
          </b:Person>
          <b:Person>
            <b:Last>Baptista Lucio</b:Last>
            <b:Middle>del Pilar</b:Middle>
            <b:First>María</b:First>
          </b:Person>
        </b:NameList>
      </b:Author>
    </b:Author>
    <b:City>México</b:City>
    <b:Publisher>McGRAW-HILL / INTERAMERICANA EDITORES, S.A. DE C.V.</b:Publisher>
    <b:RefOrder>6</b:RefOrder>
  </b:Source>
  <b:Source>
    <b:Tag>Tor15</b:Tag>
    <b:SourceType>JournalArticle</b:SourceType>
    <b:Guid>{A6A49C9C-0D0E-4DC3-819D-0EBBAD0928EE}</b:Guid>
    <b:Title>Aprendizaje móvil: perspectivas</b:Title>
    <b:JournalName>RUS. Universities and Knowledge Society Journal</b:JournalName>
    <b:Year>2015</b:Year>
    <b:Pages>38-49</b:Pages>
    <b:Author>
      <b:Author>
        <b:NameList>
          <b:Person>
            <b:Last>Torres Carrión</b:Last>
            <b:First>P</b:First>
            <b:Middle>V</b:Middle>
          </b:Person>
          <b:Person>
            <b:Last>Torres Días</b:Last>
            <b:First>J</b:First>
            <b:Middle>C</b:Middle>
          </b:Person>
          <b:Person>
            <b:Last>Infante Moro</b:Last>
            <b:First>A</b:First>
          </b:Person>
        </b:NameList>
      </b:Author>
    </b:Author>
    <b:Volume>12</b:Volume>
    <b:URL>http://www.redalyc.org/articulo.oa?id=78033494005</b:URL>
    <b:RefOrder>1</b:RefOrder>
  </b:Source>
  <b:Source>
    <b:Tag>Vel16</b:Tag>
    <b:SourceType>JournalArticle</b:SourceType>
    <b:Guid>{8BB53F5B-70D3-4859-8833-2BF0358860D9}</b:Guid>
    <b:Title>Gestión y tecnología para la ingeniería de requerimientos en servicios computacionales</b:Title>
    <b:JournalName>Reci Revista Iberoamericana de las ciencias computacionales e informática</b:JournalName>
    <b:Year>2016</b:Year>
    <b:Author>
      <b:Author>
        <b:NameList>
          <b:Person>
            <b:Last>Velázquez García</b:Last>
            <b:Middle>Ambrosio</b:Middle>
            <b:First>Luis</b:First>
          </b:Person>
        </b:NameList>
      </b:Author>
    </b:Author>
    <b:City>México</b:City>
    <b:Volume>V</b:Volume>
    <b:Issue>10</b:Issue>
    <b:RefOrder>1</b:RefOrder>
  </b:Source>
  <b:Source>
    <b:Tag>Gar08</b:Tag>
    <b:SourceType>Book</b:SourceType>
    <b:Guid>{DA4CCD74-BE8C-4241-886B-065676081768}</b:Guid>
    <b:Author>
      <b:Author>
        <b:NameList>
          <b:Person>
            <b:Last>Garimella</b:Last>
            <b:First>K.,</b:First>
            <b:Middle>Lees, M., &amp; Williams, B.</b:Middle>
          </b:Person>
        </b:NameList>
      </b:Author>
    </b:Author>
    <b:Title>Introducción a BPM para Dummies</b:Title>
    <b:Year>2008</b:Year>
    <b:City>Estados Unidos de América </b:City>
    <b:Publisher>Wiley Publishing, Inc</b:Publisher>
    <b:RefOrder>2</b:RefOrder>
  </b:Source>
  <b:Source>
    <b:Tag>Fre14</b:Tag>
    <b:SourceType>InternetSite</b:SourceType>
    <b:Guid>{05FCB19D-0BF9-4060-82D0-D6617E62B165}</b:Guid>
    <b:InternetSiteTitle>BPMN 2.0. Manual de Referencia y Guía Práctica</b:InternetSiteTitle>
    <b:Year>2014</b:Year>
    <b:URL>https://books.google.com.mx/books?hl=es&amp;lr=&amp;id=B2WyaSJD-P8C&amp;oi=fnd&amp;pg=PA1&amp;dq=bpmn+en+espa%C3%B1ol&amp;ots=sXlYweYSIg&amp;sig=Nl1VpVCODoNZY_esJVzW8zZEoyc#v=onepage&amp;q=bpmn%20en%20espa%C3%B1ol&amp;f=false</b:URL>
    <b:Author>
      <b:Author>
        <b:NameList>
          <b:Person>
            <b:Last>Freund</b:Last>
            <b:First>Jakob</b:First>
          </b:Person>
          <b:Person>
            <b:Last>Rücker</b:Last>
            <b:First>Bernd</b:First>
          </b:Person>
          <b:Person>
            <b:Last>Hitpass</b:Last>
            <b:First>Bernhard</b:First>
          </b:Person>
        </b:NameList>
      </b:Author>
    </b:Author>
    <b:RefOrder>3</b:RefOrder>
  </b:Source>
  <b:Source>
    <b:Tag>Mod</b:Tag>
    <b:SourceType>Misc</b:SourceType>
    <b:Guid>{0EAE31D9-591A-4838-AE20-ED535D0BA14A}</b:Guid>
    <b:Title>Modelo canvas (lienzo) creación plan de empresa  - innovación pymes 2015 - Osterwalder</b:Title>
    <b:YearAccessed>2018</b:YearAccessed>
    <b:MonthAccessed>Febrero</b:MonthAccessed>
    <b:DayAccessed>28</b:DayAccessed>
    <b:URL>https://www.youtube.com/watch?v=yNUD8u5wqb4</b:URL>
    <b:Author>
      <b:Author>
        <b:NameList>
          <b:Person>
            <b:Last>Cabrera Revuelta</b:Last>
            <b:First>Juan </b:First>
          </b:Person>
        </b:NameList>
      </b:Author>
    </b:Author>
    <b:Year>2015</b:Year>
    <b:RefOrder>4</b:RefOrder>
  </b:Source>
  <b:Source>
    <b:Tag>Pre10</b:Tag>
    <b:SourceType>InternetSite</b:SourceType>
    <b:Guid>{1455F34F-0A30-491C-B52E-22CA6C2CFF15}</b:Guid>
    <b:Title>Ingeniería del Software</b:Title>
    <b:InternetSiteTitle>ingeniería del software un enfoque práctico</b:InternetSiteTitle>
    <b:Year>2010</b:Year>
    <b:URL>http://s3.amazonaws.com/academia.edu.documents/45525376/Ingenieria.de.software.enfoque.practico.7ed.Pressman.PDF?AWSAccessKeyId=AKIAIWOWYYGZ2Y53UL3A&amp;Expires=1488778373&amp;Signature=hCfACOBs5jtC%2FuTZ5hHqav469gw%3D&amp;response-content-disposition=inline%3B%20fil</b:URL>
    <b:Author>
      <b:Author>
        <b:NameList>
          <b:Person>
            <b:Last>Pressman</b:Last>
            <b:Middle>S.</b:Middle>
            <b:First>Roger</b:First>
          </b:Person>
        </b:NameList>
      </b:Author>
    </b:Author>
    <b:RefOrder>5</b:RefOrder>
  </b:Source>
  <b:Source>
    <b:Tag>Biz17</b:Tag>
    <b:SourceType>InternetSite</b:SourceType>
    <b:Guid>{E0EF9751-853B-458C-8FF1-10F11C20A702}</b:Guid>
    <b:Author>
      <b:Author>
        <b:NameList>
          <b:Person>
            <b:Last>Bizagi</b:Last>
          </b:Person>
        </b:NameList>
      </b:Author>
    </b:Author>
    <b:Title>The Digital Business Platform</b:Title>
    <b:Year>2017</b:Year>
    <b:URL>https://www.bizagi.com/es</b:URL>
    <b:RefOrder>6</b:RefOrder>
  </b:Source>
  <b:Source>
    <b:Tag>ANAsf</b:Tag>
    <b:SourceType>Misc</b:SourceType>
    <b:Guid>{3FD06E64-0C0B-4D78-A8C2-158BFA403E60}</b:Guid>
    <b:Author>
      <b:Author>
        <b:Corporate>ANALITICA</b:Corporate>
      </b:Author>
    </b:Author>
    <b:Title>Sistema de Gestión de Procesos</b:Title>
    <b:PublicationTitle>Manual de diagramación de procesos bajo estándar BPMN</b:PublicationTitle>
    <b:Year>s.f.</b:Year>
    <b:RefOrder>7</b:RefOrder>
  </b:Source>
  <b:Source>
    <b:Tag>Nie09</b:Tag>
    <b:SourceType>Book</b:SourceType>
    <b:Guid>{92188BC4-F224-3A40-9737-6AB53EC7E388}</b:Guid>
    <b:Author>
      <b:Author>
        <b:NameList>
          <b:Person>
            <b:Last>Niebel</b:Last>
            <b:First>B.</b:First>
          </b:Person>
        </b:NameList>
      </b:Author>
    </b:Author>
    <b:Title>Ingeniería Industrial métodos, estándares y diseño del trabajo</b:Title>
    <b:Year>2009</b:Year>
    <b:RefOrder>1</b:RefOrder>
  </b:Source>
  <b:Source>
    <b:Tag>Kan99</b:Tag>
    <b:SourceType>Book</b:SourceType>
    <b:Guid>{ECB9C208-C624-DA4F-96CA-82949058C2DB}</b:Guid>
    <b:Author>
      <b:Author>
        <b:NameList>
          <b:Person>
            <b:Last>Kanawaty</b:Last>
            <b:First>G</b:First>
          </b:Person>
        </b:NameList>
      </b:Author>
    </b:Author>
    <b:Title>Introducción al estudio del trabajo</b:Title>
    <b:City>Ginebra</b:City>
    <b:CountryRegion>Suiza</b:CountryRegion>
    <b:Publisher>Limusa</b:Publisher>
    <b:Year>1999</b:Year>
    <b:RefOrder>2</b:RefOrder>
  </b:Source>
  <b:Source>
    <b:Tag>Agu08</b:Tag>
    <b:SourceType>Book</b:SourceType>
    <b:Guid>{1FC3968D-C17B-8E4D-84A0-BA3B1D988A2F}</b:Guid>
    <b:Author>
      <b:Author>
        <b:NameList>
          <b:Person>
            <b:Last>Aguirre</b:Last>
            <b:First>S</b:First>
            <b:Middle>Córdoba,N</b:Middle>
          </b:Person>
        </b:NameList>
      </b:Author>
    </b:Author>
    <b:Title>Diagnóstico de la madurez de los procesos en empresas medianas colombianas</b:Title>
    <b:Year>2008</b:Year>
    <b:RefOrder>3</b:RefOrder>
  </b:Source>
  <b:Source>
    <b:Tag>Rod02</b:Tag>
    <b:SourceType>Book</b:SourceType>
    <b:Guid>{99140245-4B31-8D49-9C72-B0F6E750F8EA}</b:Guid>
    <b:Author>
      <b:Author>
        <b:NameList>
          <b:Person>
            <b:Last>Rodríguez</b:Last>
            <b:First>G</b:First>
            <b:Middle>Balestrini,S Meleán,R Rodríguez,B</b:Middle>
          </b:Person>
        </b:NameList>
      </b:Author>
    </b:Author>
    <b:Title>Análisis estratégico del proceso productivo en el sector industrial</b:Title>
    <b:Year>2002</b:Year>
    <b:RefOrder>4</b:RefOrder>
  </b:Source>
  <b:Source>
    <b:Tag>Tor</b:Tag>
    <b:SourceType>Book</b:SourceType>
    <b:Guid>{2BC93572-59E1-6E44-ABA9-0790713C3ADC}</b:Guid>
    <b:Author>
      <b:Author>
        <b:NameList>
          <b:Person>
            <b:Last>Torres</b:Last>
            <b:First>P.</b:First>
            <b:Middle>Pérez, A. Marmolejo</b:Middle>
          </b:Person>
        </b:NameList>
      </b:Author>
    </b:Author>
    <b:Title>Una mirada a la agroindustria de extracción de almidón de yuca, desde la estandarización de procesos</b:Title>
    <b:Year>2010</b:Year>
    <b:RefOrder>5</b:RefOrder>
  </b:Source>
  <b:Source>
    <b:Tag>Rod14</b:Tag>
    <b:SourceType>Book</b:SourceType>
    <b:Guid>{AE13F581-E156-7042-BED9-B26B7197DC1D}</b:Guid>
    <b:Author>
      <b:Author>
        <b:NameList>
          <b:Person>
            <b:Last>Rodríguez</b:Last>
            <b:First>N</b:First>
            <b:Middle>Chaves, N Martínez,P</b:Middle>
          </b:Person>
        </b:NameList>
      </b:Author>
    </b:Author>
    <b:Title>propuesta para la reducción de los tiempos improductivos en Dugotex S.A.</b:Title>
    <b:Year>2014</b:Year>
    <b:RefOrder>6</b:RefOrder>
  </b:Source>
  <b:Source>
    <b:Tag>Uni18</b:Tag>
    <b:SourceType>InternetSite</b:SourceType>
    <b:Guid>{EC3AA21F-9FFB-4C1A-BCD9-125BCA342DD1}</b:Guid>
    <b:Title>Universidad Autónoma de Nuevo León</b:Title>
    <b:YearAccessed>2018</b:YearAccessed>
    <b:MonthAccessed>Febrero</b:MonthAccessed>
    <b:DayAccessed>25</b:DayAccessed>
    <b:URL>http://www.uanl.mx/content/disipador-de-calor-para-motores-enfriados-por-aire</b:URL>
    <b:RefOrder>7</b:RefOrder>
  </b:Source>
  <b:Source>
    <b:Tag>Ins18</b:Tag>
    <b:SourceType>InternetSite</b:SourceType>
    <b:Guid>{74D4106D-3AD7-4BB6-B40E-1560C5C54897}</b:Guid>
    <b:Title>Instituto Mexicano de la Propiedad Industrial</b:Title>
    <b:YearAccessed>2018</b:YearAccessed>
    <b:MonthAccessed>Febrero</b:MonthAccessed>
    <b:DayAccessed>25</b:DayAccessed>
    <b:URL>https:///www.gob.mx/impi#2226</b:URL>
    <b:RefOrder>2</b:RefOrder>
  </b:Source>
  <b:Source>
    <b:Tag>Ami18</b:Tag>
    <b:SourceType>InternetSite</b:SourceType>
    <b:Guid>{A69FDCA4-7005-4494-A292-6B2ED2517FEA}</b:Guid>
    <b:Title>Amics del Volkswagen</b:Title>
    <b:YearAccessed>2018</b:YearAccessed>
    <b:MonthAccessed>Febrero</b:MonthAccessed>
    <b:DayAccessed>25</b:DayAccessed>
    <b:URL>https://www.avwc.org/historiavw.php</b:URL>
    <b:RefOrder>5</b:RefOrder>
  </b:Source>
  <b:Source>
    <b:Tag>oil18</b:Tag>
    <b:SourceType>InternetSite</b:SourceType>
    <b:Guid>{960C54A8-6974-49B8-BF88-CD971082947C}</b:Guid>
    <b:Title>oilspecifications.org</b:Title>
    <b:YearAccessed>2018</b:YearAccessed>
    <b:MonthAccessed>Febrero</b:MonthAccessed>
    <b:DayAccessed>25</b:DayAccessed>
    <b:URL>https://www.oilspecifications.org/articles/vw_motor_oil_specifications_explained.php</b:URL>
    <b:RefOrder>3</b:RefOrder>
  </b:Source>
  <b:Source>
    <b:Tag>Con18</b:Tag>
    <b:SourceType>InternetSite</b:SourceType>
    <b:Guid>{80E5DC25-751D-4E30-9D00-CD3BF1C36263}</b:Guid>
    <b:Title>Consumer Reports</b:Title>
    <b:YearAccessed>2018</b:YearAccessed>
    <b:MonthAccessed>Febrero</b:MonthAccessed>
    <b:DayAccessed>25</b:DayAccessed>
    <b:URL>https://www.consumerreports.org/cro/cars/car-brands/volkswagen/index.htm</b:URL>
    <b:RefOrder>1</b:RefOrder>
  </b:Source>
  <b:Source>
    <b:Tag>CGi08</b:Tag>
    <b:SourceType>BookSection</b:SourceType>
    <b:Guid>{28BF1A2E-83C3-43B9-9089-E3A4352DBBE4}</b:Guid>
    <b:Title>Física para Ciencias e Ingeniería</b:Title>
    <b:Year>2008</b:Year>
    <b:Author>
      <b:Author>
        <b:NameList>
          <b:Person>
            <b:Last>C.Giancoli</b:Last>
            <b:First>Douglas</b:First>
          </b:Person>
        </b:NameList>
      </b:Author>
      <b:BookAuthor>
        <b:NameList>
          <b:Person>
            <b:Last>Giancoli</b:Last>
            <b:First>Douglas</b:First>
            <b:Middle>C.</b:Middle>
          </b:Person>
        </b:NameList>
      </b:BookAuthor>
    </b:Author>
    <b:BookTitle>Física para Ciencias e Ingeniería</b:BookTitle>
    <b:Pages>632</b:Pages>
    <b:City>México</b:City>
    <b:Publisher>Pearson</b:Publisher>
    <b:StateProvince>Estado de México</b:StateProvince>
    <b:CountryRegion>México</b:CountryRegion>
    <b:Volume>1</b:Volume>
    <b:ChapterNumber>10</b:ChapterNumber>
    <b:RefOrder>6</b:RefOrder>
  </b:Source>
  <b:Source>
    <b:Tag>Cen15</b:Tag>
    <b:SourceType>BookSection</b:SourceType>
    <b:Guid>{3284B7BF-7B80-4B9D-A2DF-C0C02519C057}</b:Guid>
    <b:BookTitle>Termodinámica</b:BookTitle>
    <b:Year>2015</b:Year>
    <b:Pages>997</b:Pages>
    <b:City>México</b:City>
    <b:Publisher>Mc Graw Hill</b:Publisher>
    <b:Author>
      <b:BookAuthor>
        <b:NameList>
          <b:Person>
            <b:Last>Cengel</b:Last>
            <b:First>Yunus A.</b:First>
          </b:Person>
          <b:Person>
            <b:Last>Boles</b:Last>
            <b:First>Michael A.</b:First>
          </b:Person>
        </b:NameList>
      </b:BookAuthor>
    </b:Author>
    <b:ChapterNumber>5</b:ChapterNumber>
    <b:ShortTitle>Análisis de masa y energía de volúmenes de control</b:ShortTitle>
    <b:RefOrder>4</b:RefOrder>
  </b:Source>
  <b:Source xmlns:b="http://schemas.openxmlformats.org/officeDocument/2006/bibliography">
    <b:Tag>Car15</b:Tag>
    <b:SourceType>Book</b:SourceType>
    <b:Guid>{26BB60D7-CC33-4FF0-926B-782C8603FF83}</b:Guid>
    <b:Title>Desarrollo de un Software Libre para la Lectura, Graficación y Registro en Tiempo Real de Señales Provenientes de Ondas Cerebrales</b:Title>
    <b:Year>2015</b:Year>
    <b:URL>https://computacion.cs.cinvestav.mx/~cbulnes/Tesis.pdf</b:URL>
    <b:Author>
      <b:Author>
        <b:NameList>
          <b:Person>
            <b:Last>Bulnes Domínguez</b:Last>
            <b:Middle>Antonio</b:Middle>
            <b:First>Carlos</b:First>
          </b:Person>
        </b:NameList>
      </b:Author>
    </b:Author>
    <b:Comments>(Tesis de Pregrado, Universidad Veracruzana, Veracruz)</b:Comments>
    <b:StateProvince>Tesis de Pregrado, Universidad Veracruzana, Veracruz</b:StateProvince>
    <b:CountryRegion>México</b:CountryRegion>
    <b:RefOrder>1</b:RefOrder>
  </b:Source>
  <b:Source xmlns:b="http://schemas.openxmlformats.org/officeDocument/2006/bibliography">
    <b:Tag>FRa10</b:Tag>
    <b:SourceType>DocumentFromInternetSite</b:SourceType>
    <b:Guid>{EAAC3E6C-8472-4F8F-8A88-CE9A4AF25007}</b:Guid>
    <b:Title> Técnicas básicas de electroencefalografía: principios y aplicaciones clínicas</b:Title>
    <b:Year>2010</b:Year>
    <b:YearAccessed>2017</b:YearAccessed>
    <b:MonthAccessed>Julio</b:MonthAccessed>
    <b:DayAccessed>9</b:DayAccessed>
    <b:URL>http://scielo.isciii.es/pdf/asisna/v32s3/original6.pdf</b:URL>
    <b:Author>
      <b:Author>
        <b:NameList>
          <b:Person>
            <b:Last> Ramos Argüelles</b:Last>
            <b:First>F</b:First>
          </b:Person>
          <b:Person>
            <b:Last>Morales</b:Last>
            <b:First>G</b:First>
          </b:Person>
          <b:Person>
            <b:Last>Egozcue</b:Last>
            <b:First>S</b:First>
          </b:Person>
          <b:Person>
            <b:Last>R.M. P</b:Last>
          </b:Person>
        </b:NameList>
      </b:Author>
    </b:Author>
    <b:RefOrder>2</b:RefOrder>
  </b:Source>
  <b:Source xmlns:b="http://schemas.openxmlformats.org/officeDocument/2006/bibliography">
    <b:Tag>EMO14</b:Tag>
    <b:SourceType>DocumentFromInternetSite</b:SourceType>
    <b:Guid>{A6A62CD7-560B-4D30-9DE2-83D3BA3BDE10}</b:Guid>
    <b:Author>
      <b:Author>
        <b:NameList>
          <b:Person>
            <b:Last>EMOTIV</b:Last>
          </b:Person>
        </b:NameList>
      </b:Author>
    </b:Author>
    <b:Title>EMOTIV EPOC USER MANUAL</b:Title>
    <b:Year>2014</b:Year>
    <b:URL>https://emotiv.zendesk.com/hc/en-us/articles/201222455-Where-can-I-find-a-user-manual-</b:URL>
    <b:RefOrder>3</b:RefOrder>
  </b:Source>
  <b:Source xmlns:b="http://schemas.openxmlformats.org/officeDocument/2006/bibliography">
    <b:Tag>LeT16</b:Tag>
    <b:SourceType>DocumentFromInternetSite</b:SourceType>
    <b:Guid>{C619BDBE-6711-414E-844D-ABE75B005345}</b:Guid>
    <b:Author>
      <b:Author>
        <b:NameList>
          <b:Person>
            <b:Last>Le</b:Last>
            <b:First>Tan</b:First>
          </b:Person>
        </b:NameList>
      </b:Author>
    </b:Author>
    <b:Title>Emotiv-Epoc-Quick-Start-Guide-2015 QuickStartGuide</b:Title>
    <b:InternetSiteTitle>EMOTIV</b:InternetSiteTitle>
    <b:Year>2016</b:Year>
    <b:URL>https://www.emotiv.com/files/Emotiv-Epoc-Quick-Start-Guide-2015.pdf</b:URL>
    <b:RefOrder>4</b:RefOrder>
  </b:Source>
  <b:Source xmlns:b="http://schemas.openxmlformats.org/officeDocument/2006/bibliography">
    <b:Tag>Hir10</b:Tag>
    <b:SourceType>DocumentFromInternetSite</b:SourceType>
    <b:Guid>{E590E2E9-6C4D-4B77-813F-7C4B9A08BBC1}</b:Guid>
    <b:Author>
      <b:Author>
        <b:NameList>
          <b:Person>
            <b:Last>Ekanayake</b:Last>
            <b:First>Hiran</b:First>
          </b:Person>
        </b:NameList>
      </b:Author>
    </b:Author>
    <b:Title>P300 and Emotiv EPOC: Does Emotiv EPOC capture real EEG?</b:Title>
    <b:Year>2010</b:Year>
    <b:YearAccessed>2017</b:YearAccessed>
    <b:MonthAccessed>Junio</b:MonthAccessed>
    <b:DayAccessed>21</b:DayAccessed>
    <b:URL>http://neurofeedback.visaduma.info/emotivresearch.htm</b:URL>
    <b:RefOrder>5</b:RefOrder>
  </b:Source>
  <b:Source xmlns:b="http://schemas.openxmlformats.org/officeDocument/2006/bibliography">
    <b:Tag>EMO17</b:Tag>
    <b:SourceType>DocumentFromInternetSite</b:SourceType>
    <b:Guid>{6E3203D0-8F47-4DCC-AF34-0C161279ECF2}</b:Guid>
    <b:Title>EMOTIV</b:Title>
    <b:URL>https://www.emotiv.com/epoc/</b:URL>
    <b:RefOrder>6</b:RefOrder>
  </b:Source>
  <b:Source xmlns:b="http://schemas.openxmlformats.org/officeDocument/2006/bibliography">
    <b:Tag>EMO</b:Tag>
    <b:SourceType>InternetSite</b:SourceType>
    <b:Guid>{D27DF5CE-F5BF-46B2-8EC9-F20A74E80C99}</b:Guid>
    <b:Title>EMOTIV</b:Title>
    <b:URL>https://www.emotiv.com/epoc/</b:URL>
    <b:RefOrder>7</b:RefOrder>
  </b:Source>
  <b:Source>
    <b:Tag>Toc18</b:Tag>
    <b:SourceType>DocumentFromInternetSite</b:SourceType>
    <b:Guid>{C2010168-C4DF-42FA-9E7F-FBB7899530B1}</b:Guid>
    <b:Title>Journal of learning styles</b:Title>
    <b:Year>2018</b:Year>
    <b:Author>
      <b:Author>
        <b:NameList>
          <b:Person>
            <b:Last>Tocci</b:Last>
            <b:First>Ana</b:First>
          </b:Person>
        </b:NameList>
      </b:Author>
    </b:Author>
    <b:InternetSiteTitle>ESTILOS DE APRENDIZAJE DE LOS ALUMNOS DE INGENIERÍA SEGÚN LA PROGRAMACION NEURO LINGÜÍSTICA</b:InternetSiteTitle>
    <b:Month>March</b:Month>
    <b:Day>23</b:Day>
    <b:URL>http://learningstyles.uvu.edu/index.php/jls/article/view/14/54</b:URL>
    <b:RefOrder>1</b:RefOrder>
  </b:Source>
  <b:Source>
    <b:Tag>Zaz18</b:Tag>
    <b:SourceType>DocumentFromInternetSite</b:SourceType>
    <b:Guid>{8C2EF513-C6A2-419A-A94C-2EAC71F0DC65}</b:Guid>
    <b:Title>Metodología Cuantitativa</b:Title>
    <b:InternetSiteTitle>POLITICA FISCAL Y ESTRATEGIA COMO FACTOR DE DESARROLLO DE LA MEDIANA EMPRESA COMERCIAL SINALOENSE. UN ESTUDIO DE CASO</b:InternetSiteTitle>
    <b:Year>2018</b:Year>
    <b:Month>March</b:Month>
    <b:Day>23</b:Day>
    <b:URL>http://www.eumed.net/tesis-doctorales/2012/eal/metodologia_cuantitativa.html</b:URL>
    <b:Author>
      <b:Author>
        <b:NameList>
          <b:Person>
            <b:Last>Zazueta</b:Last>
            <b:First>M.A.</b:First>
          </b:Person>
        </b:NameList>
      </b:Author>
    </b:Author>
    <b:RefOrder>2</b:RefOrder>
  </b:Source>
  <b:Source>
    <b:Tag>Kri17</b:Tag>
    <b:SourceType>DocumentFromInternetSite</b:SourceType>
    <b:Guid>{95E6317D-A455-4C96-9E44-C547F398353B}</b:Guid>
    <b:Author>
      <b:Author>
        <b:NameList>
          <b:Person>
            <b:Last>Chlopicki</b:Last>
            <b:First>Kristie</b:First>
          </b:Person>
        </b:NameList>
      </b:Author>
    </b:Author>
    <b:Title>How learning spaces influence education</b:Title>
    <b:InternetSiteTitle>Educational Review</b:InternetSiteTitle>
    <b:Year>2017</b:Year>
    <b:Month>November</b:Month>
    <b:Day>13</b:Day>
    <b:URL>https://www.educationreview.com.au/2017/11/how-learning-spaces-influence-education/</b:URL>
    <b:RefOrder>3</b:RefOrder>
  </b:Source>
  <b:Source>
    <b:Tag>Cas06</b:Tag>
    <b:SourceType>JournalArticle</b:SourceType>
    <b:Guid>{C18C8B39-BC48-4F8D-B608-76908D8FAACB}</b:Guid>
    <b:Title>Estudio sobre el fenómeno de la deserción y retención escolar en localidades de alto riesgo</b:Title>
    <b:Year>2006</b:Year>
    <b:Author>
      <b:Author>
        <b:NameList>
          <b:Person>
            <b:Last>Castro Ramírez</b:Last>
            <b:First>Bernardo</b:First>
          </b:Person>
          <b:Person>
            <b:Last>Rivas Palma</b:Last>
            <b:First>Gloria</b:First>
          </b:Person>
        </b:NameList>
      </b:Author>
    </b:Author>
    <b:JournalName>Sociedad Hoy</b:JournalName>
    <b:Pages>39</b:Pages>
    <b:RefOrder>1</b:RefOrder>
  </b:Source>
  <b:Source>
    <b:Tag>Mar18</b:Tag>
    <b:SourceType>ArticleInAPeriodical</b:SourceType>
    <b:Guid>{99DA11CC-CB8A-4170-9765-77FA2B9B219C}</b:Guid>
    <b:Author>
      <b:Author>
        <b:NameList>
          <b:Person>
            <b:Last>Martínez</b:Last>
            <b:First>María</b:First>
            <b:Middle>del Pilar</b:Middle>
          </b:Person>
        </b:NameList>
      </b:Author>
    </b:Author>
    <b:Title>Crecimiento del empleo insuficiente en 2018: OIT</b:Title>
    <b:PeriodicalTitle>el economista </b:PeriodicalTitle>
    <b:Year>2018</b:Year>
    <b:Month>01</b:Month>
    <b:Day>22</b:Day>
    <b:RefOrder>2</b:RefOrder>
  </b:Source>
  <b:Source>
    <b:Tag>Lar18</b:Tag>
    <b:SourceType>ArticleInAPeriodical</b:SourceType>
    <b:Guid>{A07E362F-8F92-43F4-848B-29D19FF0CE9E}</b:Guid>
    <b:Title>La reprobación, causa principal para que alumnos dejen bachillerato: INEE</b:Title>
    <b:Year>2018</b:Year>
    <b:PeriodicalTitle>La reprobación, causa principal para que alumnos dejen bachillerato: INEE</b:PeriodicalTitle>
    <b:Month>01</b:Month>
    <b:Day>11</b:Day>
    <b:Author>
      <b:Author>
        <b:NameList>
          <b:Person>
            <b:Last>Solano</b:Last>
            <b:First>Laura</b:First>
            <b:Middle>Poy</b:Middle>
          </b:Person>
        </b:NameList>
      </b:Author>
    </b:Author>
    <b:Pages>32</b:Pages>
    <b:RefOrder>3</b:RefOrder>
  </b:Source>
  <b:Source>
    <b:Tag>MarcadorDePosición2</b:Tag>
    <b:SourceType>Report</b:SourceType>
    <b:Guid>{578EBC4D-898C-4143-9B29-FE9D4AA451C5}</b:Guid>
    <b:Title>Modelo Educativo de la Universidad Autónoma de Nuevo León</b:Title>
    <b:Year>7 de Junio de 2008</b:Year>
    <b:Author>
      <b:Author>
        <b:NameList>
          <b:Person>
            <b:Last>Universitario</b:Last>
            <b:First>Aprobado</b:First>
            <b:Middle>por el H. Consejo</b:Middle>
          </b:Person>
        </b:NameList>
      </b:Author>
    </b:Author>
    <b:City>N.L.</b:City>
    <b:RefOrder>4</b:RefOrder>
  </b:Source>
  <b:Source>
    <b:Tag>CAR03</b:Tag>
    <b:SourceType>JournalArticle</b:SourceType>
    <b:Guid>{56C9C362-2A6F-40C5-89A3-580BA6271FFE}</b:Guid>
    <b:Title>CARACTERIZACIÓN DE LA DEPRESIÓN EN JÓVENES UNIVERSITARIOS</b:Title>
    <b:JournalName>redalyc</b:JournalName>
    <b:Year>2003</b:Year>
    <b:Pages>9</b:Pages>
    <b:Author>
      <b:Author>
        <b:NameList>
          <b:Person>
            <b:Last>Marcela Arrivillaga Quintero</b:Last>
            <b:First>Carolina</b:First>
            <b:Middle>Cortés Garcia, Vivian L.</b:Middle>
          </b:Person>
        </b:NameList>
      </b:Author>
    </b:Author>
    <b:RefOrder>5</b:RefOrder>
  </b:Source>
  <b:Source>
    <b:Tag>OCD15</b:Tag>
    <b:SourceType>Report</b:SourceType>
    <b:Guid>{892C88B4-5C98-4986-8A97-19ADBD2F39F3}</b:Guid>
    <b:Title>PANORAMA DE LA EDUCACIÓN 2015</b:Title>
    <b:Year>2015</b:Year>
    <b:Author>
      <b:Author>
        <b:NameList>
          <b:Person>
            <b:Last>OCDE</b:Last>
          </b:Person>
        </b:NameList>
      </b:Author>
    </b:Author>
    <b:RefOrder>6</b:RefOrder>
  </b:Source>
  <b:Source>
    <b:Tag>Sec17</b:Tag>
    <b:SourceType>Report</b:SourceType>
    <b:Guid>{8F4612F5-6EB4-4295-B457-B46985C3867B}</b:Guid>
    <b:Author>
      <b:Author>
        <b:NameList>
          <b:Person>
            <b:Last>Pública</b:Last>
            <b:First>Secretaría</b:First>
            <b:Middle>de Educación</b:Middle>
          </b:Person>
        </b:NameList>
      </b:Author>
    </b:Author>
    <b:Title>ESTADÍSTICA DEL SISTEMA EDUCATIVO MÉXICO CICLO ESCOLAR 2016-2017</b:Title>
    <b:Year>2017</b:Year>
    <b:RefOrder>7</b:RefOrder>
  </b:Source>
  <b:Source>
    <b:Tag>Pat15</b:Tag>
    <b:SourceType>InternetSite</b:SourceType>
    <b:Guid>{6EFA06A4-C748-4D42-B752-D206A8AD6F61}</b:Guid>
    <b:Title>¿Desertores o decepcionados? Distintas</b:Title>
    <b:Year>2015</b:Year>
    <b:Author>
      <b:Author>
        <b:NameList>
          <b:Person>
            <b:Last>Patricia León Arenas</b:Last>
            <b:First>José</b:First>
            <b:Middle>Francisco Romero Muñoz, Ignacio Hernández Saldaña</b:Middle>
          </b:Person>
        </b:NameList>
      </b:Author>
      <b:Editor>
        <b:NameList>
          <b:Person>
            <b:Last>Vries</b:Last>
            <b:First>Wietse</b:First>
            <b:Middle>de</b:Middle>
          </b:Person>
        </b:NameList>
      </b:Editor>
    </b:Author>
    <b:InternetSiteTitle>http://publicaciones.anuies.mx</b:InternetSiteTitle>
    <b:Month>10</b:Month>
    <b:Day>13</b:Day>
    <b:URL>http://publicaciones.anuies.mx/pdfs/revista/Revista160_S1A3ES.pdf</b:URL>
    <b:YearAccessed>2017</b:YearAccessed>
    <b:MonthAccessed>05</b:MonthAccessed>
    <b:RefOrder>8</b:RefOrder>
  </b:Source>
  <b:Source>
    <b:Tag>OCD17</b:Tag>
    <b:SourceType>Report</b:SourceType>
    <b:Guid>{314CA714-7C42-4980-9D5C-9329D497DC4E}</b:Guid>
    <b:Title>Panorama Educacional 2017</b:Title>
    <b:Year>2017</b:Year>
    <b:Author>
      <b:Author>
        <b:NameList>
          <b:Person>
            <b:Last>OCDE</b:Last>
          </b:Person>
        </b:NameList>
      </b:Author>
    </b:Author>
    <b:RefOrder>9</b:RefOrder>
  </b:Source>
</b:Sources>
</file>

<file path=customXml/itemProps1.xml><?xml version="1.0" encoding="utf-8"?>
<ds:datastoreItem xmlns:ds="http://schemas.openxmlformats.org/officeDocument/2006/customXml" ds:itemID="{9B85F9F3-AF86-4B27-BF8D-86120070B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2421</TotalTime>
  <Pages>12</Pages>
  <Words>3373</Words>
  <Characters>19228</Characters>
  <Application>Microsoft Office Word</Application>
  <DocSecurity>0</DocSecurity>
  <Lines>160</Lines>
  <Paragraphs>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Diego Guerrero</dc:creator>
  <cp:keywords/>
  <dc:description/>
  <cp:lastModifiedBy>Alejandra Maya</cp:lastModifiedBy>
  <cp:revision>205</cp:revision>
  <cp:lastPrinted>2022-05-01T18:52:00Z</cp:lastPrinted>
  <dcterms:created xsi:type="dcterms:W3CDTF">2016-10-13T04:21:00Z</dcterms:created>
  <dcterms:modified xsi:type="dcterms:W3CDTF">2023-05-12T14:14:00Z</dcterms:modified>
</cp:coreProperties>
</file>